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rPr>
          <w:b/>
        </w:rPr>
      </w:pPr>
      <w:r>
        <w:rPr>
          <w:b/>
        </w:rP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1729740</wp:posOffset>
            </wp:positionH>
            <wp:positionV relativeFrom="paragraph">
              <wp:posOffset>-194310</wp:posOffset>
            </wp:positionV>
            <wp:extent cx="6187440" cy="2034540"/>
            <wp:effectExtent l="0" t="0" r="0" b="0"/>
            <wp:wrapSquare wrapText="bothSides"/>
            <wp:docPr id="1" name="_x005F_x0000_s294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x005F_x0000_s294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7440" cy="203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rPr>
          <w:b/>
        </w:rPr>
      </w:pPr>
      <w:r>
        <w:rPr>
          <w:b/>
        </w:rPr>
      </w:r>
    </w:p>
    <w:p>
      <w:pPr>
        <w:pStyle w:val="Normal"/>
        <w:jc w:val="both"/>
        <w:rPr>
          <w:color w:val="FF0000"/>
          <w:sz w:val="32"/>
        </w:rPr>
      </w:pPr>
      <w:r>
        <w:rPr>
          <w:color w:val="FF0000"/>
          <w:sz w:val="32"/>
        </w:rPr>
      </w:r>
    </w:p>
    <w:p>
      <w:pPr>
        <w:pStyle w:val="Normal"/>
        <w:jc w:val="both"/>
        <w:rPr>
          <w:color w:val="FF0000"/>
          <w:sz w:val="32"/>
        </w:rPr>
      </w:pPr>
      <w:r>
        <w:rPr>
          <w:color w:val="FF0000"/>
          <w:sz w:val="32"/>
        </w:rPr>
      </w:r>
    </w:p>
    <w:p>
      <w:pPr>
        <w:pStyle w:val="Normal"/>
        <w:jc w:val="both"/>
        <w:rPr>
          <w:color w:val="FF0000"/>
          <w:sz w:val="32"/>
        </w:rPr>
      </w:pPr>
      <w:r>
        <w:rPr>
          <w:color w:val="FF0000"/>
          <w:sz w:val="32"/>
        </w:rPr>
      </w:r>
    </w:p>
    <w:p>
      <w:pPr>
        <w:pStyle w:val="Normal"/>
        <w:jc w:val="both"/>
        <w:rPr>
          <w:color w:val="FF0000"/>
          <w:sz w:val="32"/>
        </w:rPr>
      </w:pPr>
      <w:r>
        <w:rPr>
          <w:color w:val="FF0000"/>
          <w:sz w:val="32"/>
        </w:rPr>
      </w:r>
    </w:p>
    <w:p>
      <w:pPr>
        <w:pStyle w:val="Normal"/>
        <w:jc w:val="both"/>
        <w:rPr>
          <w:color w:val="FF0000"/>
          <w:sz w:val="32"/>
        </w:rPr>
      </w:pPr>
      <w:r>
        <w:rPr>
          <w:color w:val="FF0000"/>
          <w:sz w:val="32"/>
        </w:rPr>
      </w:r>
    </w:p>
    <w:p>
      <w:pPr>
        <w:pStyle w:val="Normal"/>
        <w:rPr>
          <w:vanish/>
        </w:rPr>
      </w:pPr>
      <w:r>
        <w:rPr>
          <w:vanish w:val="false"/>
        </w:rPr>
      </w:r>
    </w:p>
    <w:tbl>
      <w:tblPr>
        <w:tblW w:w="1575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81"/>
        <w:gridCol w:w="3562"/>
        <w:gridCol w:w="832"/>
        <w:gridCol w:w="8460"/>
        <w:gridCol w:w="1518"/>
      </w:tblGrid>
      <w:tr>
        <w:trPr>
          <w:trHeight w:val="397" w:hRule="atLeast"/>
        </w:trPr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РАЗДЕЛ</w:t>
            </w:r>
          </w:p>
        </w:tc>
        <w:tc>
          <w:tcPr>
            <w:tcW w:w="3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НОМЕНКЛАТУРА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846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УСЛУГИ</w:t>
            </w:r>
          </w:p>
        </w:tc>
        <w:tc>
          <w:tcPr>
            <w:tcW w:w="15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ЦЕНА,</w:t>
            </w:r>
          </w:p>
          <w:p>
            <w:pPr>
              <w:pStyle w:val="Normal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РУБ.</w:t>
            </w:r>
          </w:p>
        </w:tc>
      </w:tr>
      <w:tr>
        <w:trPr>
          <w:trHeight w:val="397" w:hRule="atLeast"/>
        </w:trPr>
        <w:tc>
          <w:tcPr>
            <w:tcW w:w="1575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64B8B5"/>
                <w:sz w:val="28"/>
              </w:rPr>
              <w:t>ОТОРИНОЛАРИНГОЛОГИЯ</w:t>
            </w:r>
          </w:p>
        </w:tc>
      </w:tr>
      <w:tr>
        <w:trPr>
          <w:trHeight w:val="510" w:hRule="exact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В01.028.001</w:t>
            </w:r>
          </w:p>
          <w:p>
            <w:pPr>
              <w:pStyle w:val="Normal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Прием (осмотр, консультация) врача-оториноларинголога первичный</w:t>
            </w: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Л1</w:t>
            </w:r>
          </w:p>
        </w:tc>
        <w:tc>
          <w:tcPr>
            <w:tcW w:w="84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Первичный прием оториноларинголога</w:t>
            </w:r>
          </w:p>
        </w:tc>
        <w:tc>
          <w:tcPr>
            <w:tcW w:w="15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2 000</w:t>
            </w:r>
          </w:p>
        </w:tc>
      </w:tr>
      <w:tr>
        <w:trPr>
          <w:trHeight w:val="510" w:hRule="exact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В01.028.002</w:t>
            </w:r>
          </w:p>
          <w:p>
            <w:pPr>
              <w:pStyle w:val="Normal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Прием (осмотр, консультация) врача-оториноларинголога повторный</w:t>
            </w: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Л2</w:t>
            </w:r>
          </w:p>
        </w:tc>
        <w:tc>
          <w:tcPr>
            <w:tcW w:w="84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 прием оториноларинголога</w:t>
            </w:r>
          </w:p>
        </w:tc>
        <w:tc>
          <w:tcPr>
            <w:tcW w:w="15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1 600</w:t>
            </w:r>
          </w:p>
        </w:tc>
      </w:tr>
      <w:tr>
        <w:trPr>
          <w:trHeight w:val="510" w:hRule="exact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В01.046.001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Прием (осмотр, консультация) врача-сурдолога-оториноларинголога первичный</w:t>
            </w: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Л3</w:t>
            </w:r>
          </w:p>
        </w:tc>
        <w:tc>
          <w:tcPr>
            <w:tcW w:w="84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Прием сурдолога первичный</w:t>
            </w:r>
          </w:p>
        </w:tc>
        <w:tc>
          <w:tcPr>
            <w:tcW w:w="15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2 500</w:t>
            </w:r>
          </w:p>
        </w:tc>
      </w:tr>
      <w:tr>
        <w:trPr>
          <w:trHeight w:val="510" w:hRule="exact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В01.046.002</w:t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Прием (осмотр, консультация) врача сурдолога-оториноларинголога повторный</w:t>
            </w: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Л4</w:t>
            </w:r>
          </w:p>
        </w:tc>
        <w:tc>
          <w:tcPr>
            <w:tcW w:w="84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Прием сурдолога повторный</w:t>
            </w:r>
          </w:p>
        </w:tc>
        <w:tc>
          <w:tcPr>
            <w:tcW w:w="15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1 800</w:t>
            </w:r>
          </w:p>
        </w:tc>
      </w:tr>
      <w:tr>
        <w:trPr>
          <w:trHeight w:val="510" w:hRule="exact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В01.028.001</w:t>
            </w:r>
          </w:p>
          <w:p>
            <w:pPr>
              <w:pStyle w:val="Normal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Прием (осмотр, консультация) врача-оториноларинголога повторный</w:t>
            </w: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Л5</w:t>
            </w:r>
          </w:p>
        </w:tc>
        <w:tc>
          <w:tcPr>
            <w:tcW w:w="84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Прием оториноларинголога, к. м. н.,  главного врача, Вахрамеева И.Н.</w:t>
            </w:r>
          </w:p>
        </w:tc>
        <w:tc>
          <w:tcPr>
            <w:tcW w:w="15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3 000</w:t>
            </w:r>
          </w:p>
        </w:tc>
      </w:tr>
      <w:tr>
        <w:trPr>
          <w:trHeight w:val="315" w:hRule="atLeast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В01.028.001</w:t>
            </w:r>
          </w:p>
          <w:p>
            <w:pPr>
              <w:pStyle w:val="Normal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Прием (осмотр, консультация) врача-оториноларинголога первичный</w:t>
            </w: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Л6</w:t>
            </w:r>
          </w:p>
        </w:tc>
        <w:tc>
          <w:tcPr>
            <w:tcW w:w="84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Первичный прием врача оториноларинголога, высшая квалификационная категория,  Чуфистов В.М.</w:t>
            </w:r>
          </w:p>
        </w:tc>
        <w:tc>
          <w:tcPr>
            <w:tcW w:w="15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</w:rPr>
              <w:t>2 500</w:t>
            </w:r>
          </w:p>
        </w:tc>
      </w:tr>
      <w:tr>
        <w:trPr>
          <w:trHeight w:val="340" w:hRule="atLeast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В01.028.002</w:t>
            </w:r>
          </w:p>
          <w:p>
            <w:pPr>
              <w:pStyle w:val="Normal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Прием (осмотр, консультация) врача-оториноларинголога повторный</w:t>
            </w: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Л7</w:t>
            </w:r>
          </w:p>
        </w:tc>
        <w:tc>
          <w:tcPr>
            <w:tcW w:w="84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  прием врача оториноларинголога, высшая квалификационная категория,  Чуфистов В.М.</w:t>
            </w:r>
          </w:p>
        </w:tc>
        <w:tc>
          <w:tcPr>
            <w:tcW w:w="15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</w:rPr>
              <w:t>2 000</w:t>
            </w:r>
          </w:p>
        </w:tc>
      </w:tr>
      <w:tr>
        <w:trPr>
          <w:trHeight w:val="299" w:hRule="atLeast"/>
        </w:trPr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В01.028.001</w:t>
            </w:r>
          </w:p>
          <w:p>
            <w:pPr>
              <w:pStyle w:val="Normal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Прием (осмотр, консультация) врача-оториноларинголога первичный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Л8</w:t>
            </w:r>
          </w:p>
        </w:tc>
        <w:tc>
          <w:tcPr>
            <w:tcW w:w="84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Первичный прием оториноларинголога Власова О.Г.</w:t>
            </w:r>
          </w:p>
        </w:tc>
        <w:tc>
          <w:tcPr>
            <w:tcW w:w="15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3 300</w:t>
            </w:r>
          </w:p>
        </w:tc>
      </w:tr>
      <w:tr>
        <w:trPr>
          <w:trHeight w:val="299" w:hRule="atLeast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В01.028.002</w:t>
            </w:r>
          </w:p>
          <w:p>
            <w:pPr>
              <w:pStyle w:val="Normal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Прием (осмотр, консультация) врача-оториноларинголога повторный</w:t>
            </w: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Л9</w:t>
            </w:r>
          </w:p>
        </w:tc>
        <w:tc>
          <w:tcPr>
            <w:tcW w:w="84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 прием оториноларинголога Власова О.Г.</w:t>
            </w:r>
          </w:p>
        </w:tc>
        <w:tc>
          <w:tcPr>
            <w:tcW w:w="15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2 900</w:t>
            </w:r>
          </w:p>
        </w:tc>
      </w:tr>
      <w:tr>
        <w:trPr>
          <w:trHeight w:val="510" w:hRule="exact"/>
        </w:trPr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В01.028.001</w:t>
            </w:r>
          </w:p>
          <w:p>
            <w:pPr>
              <w:pStyle w:val="Normal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Прием (осмотр, консультация) врача-оториноларинголога первичный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Л10</w:t>
            </w:r>
          </w:p>
        </w:tc>
        <w:tc>
          <w:tcPr>
            <w:tcW w:w="84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Экстренный прием врача-оториноларинголога Власова О.Г. </w:t>
            </w:r>
          </w:p>
        </w:tc>
        <w:tc>
          <w:tcPr>
            <w:tcW w:w="15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4 000</w:t>
            </w:r>
          </w:p>
        </w:tc>
      </w:tr>
      <w:tr>
        <w:trPr>
          <w:trHeight w:val="510" w:hRule="exact"/>
        </w:trPr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В01.028.001</w:t>
            </w:r>
          </w:p>
          <w:p>
            <w:pPr>
              <w:pStyle w:val="Normal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Прием (осмотр, консультация) врача-оториноларинголога первичный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Л11</w:t>
            </w:r>
          </w:p>
        </w:tc>
        <w:tc>
          <w:tcPr>
            <w:tcW w:w="84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right" w:pos="8907" w:leader="none"/>
              </w:tabs>
              <w:spacing w:lineRule="auto" w:line="276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Консультативный прием по оперативному лечению</w:t>
            </w:r>
          </w:p>
        </w:tc>
        <w:tc>
          <w:tcPr>
            <w:tcW w:w="15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1 500</w:t>
            </w:r>
          </w:p>
        </w:tc>
      </w:tr>
      <w:tr>
        <w:trPr>
          <w:trHeight w:val="510" w:hRule="exact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А12.25.001</w:t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Тональная аудиометрия</w:t>
            </w:r>
          </w:p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Л1</w:t>
            </w:r>
            <w:r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84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Аудиометрия тональная</w:t>
            </w:r>
          </w:p>
        </w:tc>
        <w:tc>
          <w:tcPr>
            <w:tcW w:w="15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1 200</w:t>
            </w:r>
          </w:p>
        </w:tc>
      </w:tr>
      <w:tr>
        <w:trPr>
          <w:trHeight w:val="510" w:hRule="exact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А12.25.005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Импедансометрия</w:t>
            </w: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Л1</w:t>
            </w:r>
            <w:r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84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Импедансометрия</w:t>
            </w:r>
          </w:p>
        </w:tc>
        <w:tc>
          <w:tcPr>
            <w:tcW w:w="15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1 200</w:t>
            </w:r>
          </w:p>
        </w:tc>
      </w:tr>
      <w:tr>
        <w:trPr>
          <w:trHeight w:val="510" w:hRule="exact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А16.25.020</w:t>
            </w:r>
          </w:p>
          <w:p>
            <w:pPr>
              <w:pStyle w:val="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Шунтирование и дренирование барабанной полости</w:t>
            </w: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Л15</w:t>
            </w:r>
          </w:p>
        </w:tc>
        <w:tc>
          <w:tcPr>
            <w:tcW w:w="84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Регистрация отоакустической эмиссии</w:t>
            </w:r>
          </w:p>
        </w:tc>
        <w:tc>
          <w:tcPr>
            <w:tcW w:w="15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1 200</w:t>
            </w:r>
          </w:p>
        </w:tc>
      </w:tr>
      <w:tr>
        <w:trPr>
          <w:trHeight w:val="510" w:hRule="exact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А03.08.004.003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Видеориноскопия</w:t>
            </w: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Л16</w:t>
            </w:r>
          </w:p>
        </w:tc>
        <w:tc>
          <w:tcPr>
            <w:tcW w:w="84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Эндоскопическое  (микроскопическое)  обследование ЛОР-органов</w:t>
            </w:r>
          </w:p>
        </w:tc>
        <w:tc>
          <w:tcPr>
            <w:tcW w:w="15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1 500</w:t>
            </w:r>
          </w:p>
        </w:tc>
      </w:tr>
      <w:tr>
        <w:trPr>
          <w:trHeight w:val="510" w:hRule="exact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А22.01.005           А17.30.031</w:t>
            </w:r>
          </w:p>
          <w:p>
            <w:pPr>
              <w:pStyle w:val="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Низкоинтенсивное лазерное облучение кожи  Воздействие магнитными полями</w:t>
            </w: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Л17</w:t>
            </w:r>
          </w:p>
        </w:tc>
        <w:tc>
          <w:tcPr>
            <w:tcW w:w="84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Магнитолазеротерапия (1 сеанс)</w:t>
            </w:r>
          </w:p>
        </w:tc>
        <w:tc>
          <w:tcPr>
            <w:tcW w:w="15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600</w:t>
            </w:r>
          </w:p>
        </w:tc>
      </w:tr>
      <w:tr>
        <w:trPr>
          <w:trHeight w:val="510" w:hRule="exact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Л18</w:t>
            </w:r>
          </w:p>
        </w:tc>
        <w:tc>
          <w:tcPr>
            <w:tcW w:w="84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Взятие биопсийного материала</w:t>
            </w:r>
          </w:p>
        </w:tc>
        <w:tc>
          <w:tcPr>
            <w:tcW w:w="15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2 300</w:t>
            </w:r>
          </w:p>
        </w:tc>
      </w:tr>
      <w:tr>
        <w:trPr>
          <w:trHeight w:val="510" w:hRule="exact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Л19</w:t>
            </w:r>
          </w:p>
        </w:tc>
        <w:tc>
          <w:tcPr>
            <w:tcW w:w="84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Пребывание в послеоперационной палате 1 человека (1 сутки)</w:t>
            </w:r>
          </w:p>
        </w:tc>
        <w:tc>
          <w:tcPr>
            <w:tcW w:w="15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4 600</w:t>
            </w:r>
          </w:p>
        </w:tc>
      </w:tr>
      <w:tr>
        <w:trPr>
          <w:trHeight w:val="510" w:hRule="exact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Л20</w:t>
            </w:r>
          </w:p>
        </w:tc>
        <w:tc>
          <w:tcPr>
            <w:tcW w:w="84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Пребывание в послеоперационной палате мамы с ребенком (1 сутки)</w:t>
            </w:r>
          </w:p>
        </w:tc>
        <w:tc>
          <w:tcPr>
            <w:tcW w:w="15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5 500</w:t>
            </w:r>
          </w:p>
        </w:tc>
      </w:tr>
      <w:tr>
        <w:trPr>
          <w:trHeight w:val="299" w:hRule="atLeast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 w:val="18"/>
                <w:szCs w:val="18"/>
                <w:shd w:fill="FFFFFF" w:val="clear"/>
              </w:rPr>
            </w:pPr>
            <w:r>
              <w:rPr>
                <w:bCs/>
                <w:sz w:val="18"/>
                <w:szCs w:val="18"/>
                <w:shd w:fill="FFFFFF" w:val="clear"/>
              </w:rPr>
              <w:t>А22.27.005</w:t>
            </w:r>
          </w:p>
          <w:p>
            <w:pPr>
              <w:pStyle w:val="Normal"/>
              <w:rPr>
                <w:bCs/>
                <w:sz w:val="18"/>
                <w:szCs w:val="18"/>
                <w:shd w:fill="FFFFFF" w:val="clear"/>
              </w:rPr>
            </w:pPr>
            <w:r>
              <w:rPr>
                <w:bCs/>
                <w:sz w:val="18"/>
                <w:szCs w:val="18"/>
                <w:shd w:fill="FFFFFF" w:val="clear"/>
              </w:rPr>
              <w:t>А22.27.001</w:t>
            </w:r>
          </w:p>
          <w:p>
            <w:pPr>
              <w:pStyle w:val="Normal"/>
              <w:rPr>
                <w:bCs/>
                <w:sz w:val="18"/>
                <w:szCs w:val="18"/>
                <w:shd w:fill="FFFFFF" w:val="clear"/>
              </w:rPr>
            </w:pPr>
            <w:r>
              <w:rPr>
                <w:bCs/>
                <w:sz w:val="18"/>
                <w:szCs w:val="18"/>
                <w:shd w:fill="FFFFFF" w:val="clear"/>
              </w:rPr>
            </w:r>
          </w:p>
          <w:p>
            <w:pPr>
              <w:pStyle w:val="Normal"/>
              <w:rPr>
                <w:bCs/>
                <w:sz w:val="16"/>
                <w:szCs w:val="16"/>
                <w:shd w:fill="FFFFFF" w:val="clear"/>
              </w:rPr>
            </w:pPr>
            <w:r>
              <w:rPr>
                <w:bCs/>
                <w:sz w:val="18"/>
                <w:szCs w:val="18"/>
                <w:shd w:fill="FFFFFF" w:val="clear"/>
              </w:rPr>
              <w:t>А22.01.006</w:t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Heading3"/>
              <w:ind w:left="0"/>
              <w:jc w:val="left"/>
              <w:rPr>
                <w:b w:val="false"/>
                <w:sz w:val="18"/>
                <w:szCs w:val="18"/>
                <w:lang w:val="ru-RU" w:eastAsia="ru-RU"/>
              </w:rPr>
            </w:pPr>
            <w:r>
              <w:rPr>
                <w:b w:val="false"/>
                <w:sz w:val="18"/>
                <w:szCs w:val="18"/>
                <w:lang w:val="ru-RU" w:eastAsia="ru-RU"/>
              </w:rPr>
              <w:t>Ультрафиолетовое облучение ротоглотки</w:t>
            </w:r>
          </w:p>
          <w:p>
            <w:pPr>
              <w:pStyle w:val="Heading3"/>
              <w:ind w:left="0"/>
              <w:jc w:val="left"/>
              <w:rPr>
                <w:b w:val="false"/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  <w:r>
              <w:rPr>
                <w:b w:val="false"/>
                <w:sz w:val="18"/>
                <w:szCs w:val="18"/>
                <w:lang w:val="ru-RU" w:eastAsia="ru-RU"/>
              </w:rPr>
              <w:t>Ультрафиолетовое облучение слизистой носа</w:t>
            </w:r>
          </w:p>
          <w:p>
            <w:pPr>
              <w:pStyle w:val="Heading3"/>
              <w:ind w:left="0"/>
              <w:jc w:val="left"/>
              <w:rPr>
                <w:b w:val="false"/>
                <w:sz w:val="16"/>
                <w:szCs w:val="16"/>
                <w:lang w:val="ru-RU" w:eastAsia="ru-RU"/>
              </w:rPr>
            </w:pPr>
            <w:r>
              <w:rPr>
                <w:b w:val="false"/>
                <w:sz w:val="18"/>
                <w:szCs w:val="18"/>
                <w:lang w:val="ru-RU" w:eastAsia="ru-RU"/>
              </w:rPr>
              <w:t>Ультрафиолетовое облучение кожи</w:t>
            </w: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Л21</w:t>
            </w:r>
          </w:p>
        </w:tc>
        <w:tc>
          <w:tcPr>
            <w:tcW w:w="84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3984" w:leader="none"/>
              </w:tabs>
              <w:rPr>
                <w:color w:val="151515"/>
                <w:shd w:fill="FFFFFF" w:val="clear"/>
              </w:rPr>
            </w:pPr>
            <w:r>
              <w:rPr>
                <w:color w:val="151515"/>
                <w:shd w:fill="FFFFFF" w:val="clear"/>
              </w:rPr>
              <w:t>Ультрафиолетовое облучение (тубусный кварц) 1 сеанс</w:t>
            </w:r>
          </w:p>
        </w:tc>
        <w:tc>
          <w:tcPr>
            <w:tcW w:w="15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</w:t>
            </w:r>
          </w:p>
        </w:tc>
      </w:tr>
      <w:tr>
        <w:trPr>
          <w:trHeight w:val="671" w:hRule="atLeast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 w:val="18"/>
                <w:szCs w:val="18"/>
                <w:shd w:fill="FFFFFF" w:val="clear"/>
              </w:rPr>
            </w:pPr>
            <w:r>
              <w:rPr>
                <w:bCs/>
                <w:sz w:val="18"/>
                <w:szCs w:val="18"/>
                <w:shd w:fill="FFFFFF" w:val="clear"/>
              </w:rPr>
              <w:t>А17.08.003</w:t>
            </w:r>
          </w:p>
          <w:p>
            <w:pPr>
              <w:pStyle w:val="Normal"/>
              <w:rPr>
                <w:bCs/>
                <w:sz w:val="18"/>
                <w:szCs w:val="18"/>
                <w:shd w:fill="FFFFFF" w:val="clear"/>
              </w:rPr>
            </w:pPr>
            <w:r>
              <w:rPr>
                <w:bCs/>
                <w:sz w:val="18"/>
                <w:szCs w:val="18"/>
                <w:shd w:fill="FFFFFF" w:val="clear"/>
              </w:rPr>
            </w:r>
          </w:p>
          <w:p>
            <w:pPr>
              <w:pStyle w:val="Normal"/>
              <w:rPr>
                <w:bCs/>
                <w:sz w:val="18"/>
                <w:szCs w:val="18"/>
                <w:shd w:fill="FFFFFF" w:val="clear"/>
              </w:rPr>
            </w:pPr>
            <w:r>
              <w:rPr>
                <w:bCs/>
                <w:sz w:val="18"/>
                <w:szCs w:val="18"/>
                <w:shd w:fill="FFFFFF" w:val="clear"/>
              </w:rPr>
              <w:t>А17.30.034</w:t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Heading3"/>
              <w:ind w:left="-68"/>
              <w:jc w:val="left"/>
              <w:rPr>
                <w:b w:val="false"/>
                <w:sz w:val="18"/>
                <w:szCs w:val="18"/>
              </w:rPr>
            </w:pPr>
            <w:r>
              <w:rPr>
                <w:b w:val="false"/>
                <w:sz w:val="18"/>
                <w:szCs w:val="18"/>
              </w:rPr>
              <w:t>Аэрозольтерапия при заболеваниях верхних дыхательных путей</w:t>
            </w:r>
          </w:p>
          <w:p>
            <w:pPr>
              <w:pStyle w:val="Heading2"/>
              <w:jc w:val="left"/>
              <w:rPr>
                <w:b w:val="false"/>
                <w:sz w:val="18"/>
                <w:szCs w:val="18"/>
                <w:lang w:val="en-US"/>
              </w:rPr>
            </w:pPr>
            <w:r>
              <w:rPr>
                <w:b w:val="false"/>
                <w:sz w:val="18"/>
                <w:szCs w:val="18"/>
              </w:rPr>
              <w:t>Ультрафонофорез лекарственный</w:t>
            </w: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Л22</w:t>
            </w:r>
          </w:p>
        </w:tc>
        <w:tc>
          <w:tcPr>
            <w:tcW w:w="84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3984" w:leader="none"/>
              </w:tabs>
              <w:rPr>
                <w:color w:val="151515"/>
                <w:shd w:fill="FFFFFF" w:val="clear"/>
              </w:rPr>
            </w:pPr>
            <w:r>
              <w:rPr>
                <w:color w:val="151515"/>
                <w:shd w:fill="FFFFFF" w:val="clear"/>
              </w:rPr>
              <w:t>Аэрозольная терапия с помощью аппарата УЗОЛ-01-«Ч» КАВИТАР (1 сеанс)</w:t>
            </w:r>
          </w:p>
        </w:tc>
        <w:tc>
          <w:tcPr>
            <w:tcW w:w="15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650</w:t>
            </w:r>
          </w:p>
        </w:tc>
      </w:tr>
      <w:tr>
        <w:trPr>
          <w:trHeight w:val="624" w:hRule="exact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 w:val="18"/>
                <w:szCs w:val="18"/>
                <w:shd w:fill="FFFFFF" w:val="clear"/>
              </w:rPr>
            </w:pPr>
            <w:r>
              <w:rPr>
                <w:bCs/>
                <w:sz w:val="18"/>
                <w:szCs w:val="18"/>
                <w:shd w:fill="FFFFFF" w:val="clear"/>
              </w:rPr>
              <w:t>А17.08.003</w:t>
            </w:r>
          </w:p>
          <w:p>
            <w:pPr>
              <w:pStyle w:val="Normal"/>
              <w:rPr>
                <w:bCs/>
                <w:sz w:val="18"/>
                <w:szCs w:val="18"/>
                <w:shd w:fill="FFFFFF" w:val="clear"/>
              </w:rPr>
            </w:pPr>
            <w:r>
              <w:rPr>
                <w:bCs/>
                <w:sz w:val="18"/>
                <w:szCs w:val="18"/>
                <w:shd w:fill="FFFFFF" w:val="clear"/>
              </w:rPr>
            </w:r>
          </w:p>
          <w:p>
            <w:pPr>
              <w:pStyle w:val="Normal"/>
              <w:rPr>
                <w:bCs/>
                <w:sz w:val="18"/>
                <w:szCs w:val="18"/>
                <w:shd w:fill="FFFFFF" w:val="clear"/>
              </w:rPr>
            </w:pPr>
            <w:r>
              <w:rPr>
                <w:bCs/>
                <w:sz w:val="18"/>
                <w:szCs w:val="18"/>
                <w:shd w:fill="FFFFFF" w:val="clear"/>
              </w:rPr>
              <w:t>А17.30.034</w:t>
            </w:r>
          </w:p>
          <w:p>
            <w:pPr>
              <w:pStyle w:val="Normal"/>
              <w:rPr>
                <w:bCs/>
                <w:sz w:val="18"/>
                <w:szCs w:val="18"/>
                <w:shd w:fill="FFFFFF" w:val="clear"/>
              </w:rPr>
            </w:pPr>
            <w:r>
              <w:rPr>
                <w:bCs/>
                <w:sz w:val="18"/>
                <w:szCs w:val="18"/>
                <w:shd w:fill="FFFFFF" w:val="clear"/>
              </w:rPr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Heading3"/>
              <w:ind w:left="0"/>
              <w:jc w:val="left"/>
              <w:rPr>
                <w:b w:val="false"/>
                <w:color w:val="333333"/>
                <w:sz w:val="18"/>
                <w:szCs w:val="18"/>
                <w:lang w:val="ru-RU" w:eastAsia="ru-RU"/>
              </w:rPr>
            </w:pPr>
            <w:r>
              <w:rPr>
                <w:b w:val="false"/>
                <w:color w:val="333333"/>
                <w:sz w:val="18"/>
                <w:szCs w:val="18"/>
                <w:lang w:val="ru-RU" w:eastAsia="ru-RU"/>
              </w:rPr>
              <w:t>Аэрозольтерапия при заболеваниях верхних дыхательных путей</w:t>
            </w:r>
          </w:p>
          <w:p>
            <w:pPr>
              <w:pStyle w:val="Heading2"/>
              <w:jc w:val="left"/>
              <w:rPr>
                <w:sz w:val="18"/>
                <w:szCs w:val="18"/>
              </w:rPr>
            </w:pPr>
            <w:r>
              <w:rPr>
                <w:b w:val="false"/>
                <w:sz w:val="18"/>
                <w:szCs w:val="18"/>
              </w:rPr>
              <w:t>Ультрафонофорез лекарственный</w:t>
            </w: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Л23</w:t>
            </w:r>
          </w:p>
        </w:tc>
        <w:tc>
          <w:tcPr>
            <w:tcW w:w="84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3984" w:leader="none"/>
              </w:tabs>
              <w:rPr>
                <w:color w:val="151515"/>
                <w:shd w:fill="FFFFFF" w:val="clear"/>
              </w:rPr>
            </w:pPr>
            <w:r>
              <w:rPr>
                <w:color w:val="151515"/>
                <w:shd w:fill="FFFFFF" w:val="clear"/>
              </w:rPr>
              <w:t>Аэрозольная терапия с помощью аппарата УЗОЛ-01-«Ч» КАВИТАР (5 сеансов)</w:t>
            </w:r>
          </w:p>
        </w:tc>
        <w:tc>
          <w:tcPr>
            <w:tcW w:w="15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3 000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tbl>
      <w:tblPr>
        <w:tblW w:w="1584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84"/>
        <w:gridCol w:w="3665"/>
        <w:gridCol w:w="877"/>
        <w:gridCol w:w="8356"/>
        <w:gridCol w:w="1561"/>
      </w:tblGrid>
      <w:tr>
        <w:trPr>
          <w:trHeight w:val="340" w:hRule="atLeast"/>
        </w:trPr>
        <w:tc>
          <w:tcPr>
            <w:tcW w:w="15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ageBreakBefore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color w:val="64B8B5"/>
                <w:sz w:val="28"/>
              </w:rPr>
              <w:t>ОТОСКОПИЧЕСКИЕ ПРОЦЕДУРЫ</w:t>
            </w:r>
          </w:p>
        </w:tc>
      </w:tr>
      <w:tr>
        <w:trPr>
          <w:trHeight w:val="454" w:hRule="exac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А11.25.002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Введение лекарственных препаратов в наружный слуховой проход</w:t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ЛУ1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Целенаправленное введение лекарственных средств в слуховой проход (1сеанс)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600</w:t>
            </w:r>
          </w:p>
        </w:tc>
      </w:tr>
      <w:tr>
        <w:trPr>
          <w:trHeight w:val="454" w:hRule="exac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ЛУ2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Туалет слухового прохода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800</w:t>
            </w:r>
          </w:p>
        </w:tc>
      </w:tr>
      <w:tr>
        <w:trPr>
          <w:trHeight w:val="454" w:hRule="exac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А16.25.012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Продувание слуховой трубы</w:t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ЛУ3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Продувание слуховых труб по Политцеру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600</w:t>
            </w:r>
          </w:p>
        </w:tc>
      </w:tr>
      <w:tr>
        <w:trPr>
          <w:trHeight w:val="454" w:hRule="exac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ЛУ4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Транстубарное введение лекарственных веществ, одностороннее (1 сеанс)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1 000</w:t>
            </w:r>
          </w:p>
        </w:tc>
      </w:tr>
      <w:tr>
        <w:trPr>
          <w:trHeight w:val="454" w:hRule="exac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ЛУ5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Пневмотранстубарный массаж барабанной перепонки, односторонний (1 сеанс)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700</w:t>
            </w:r>
          </w:p>
        </w:tc>
      </w:tr>
      <w:tr>
        <w:trPr>
          <w:trHeight w:val="454" w:hRule="exac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A11.08.007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Заушные блокады с лекарственными препаратами</w:t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ЛУ7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Заушная (парамеатальная) односторонняя блокада (1 сеанс)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1 300</w:t>
            </w:r>
          </w:p>
        </w:tc>
      </w:tr>
      <w:tr>
        <w:trPr>
          <w:trHeight w:val="454" w:hRule="exac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А16.25.011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Миринготомия</w:t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ЛУ8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Парацентез барабанной перепонки, тимпанопункция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3 450</w:t>
            </w:r>
          </w:p>
        </w:tc>
      </w:tr>
      <w:tr>
        <w:trPr>
          <w:trHeight w:val="454" w:hRule="exac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A02.25.001</w:t>
            </w:r>
          </w:p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А16.25.042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Осмотр органа слуха (отоскопия) Удаление доброкачественного новообразования наружного слухового прохода</w:t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ЛУ9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Отомикроскопия с удалением грануляций, полипозной ткани, новообразования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5 000</w:t>
            </w:r>
          </w:p>
        </w:tc>
      </w:tr>
      <w:tr>
        <w:trPr>
          <w:trHeight w:val="454" w:hRule="exac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А11.25.003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Промывание среднего уха</w:t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ЛУ10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Промывание послеоперационной полости оперированного уха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1 700</w:t>
            </w:r>
          </w:p>
        </w:tc>
      </w:tr>
      <w:tr>
        <w:trPr>
          <w:trHeight w:val="454" w:hRule="exac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ЛУ11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Промывания аттика канюлей с аспирацией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1 100</w:t>
            </w:r>
          </w:p>
        </w:tc>
      </w:tr>
      <w:tr>
        <w:trPr>
          <w:trHeight w:val="454" w:hRule="exac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A02.25.001.001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Видеоотоскопия</w:t>
            </w:r>
          </w:p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ЛУ12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Осмотр после отохирургического вмешательства с отомикроскопией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3 000</w:t>
            </w:r>
          </w:p>
        </w:tc>
      </w:tr>
      <w:tr>
        <w:trPr>
          <w:trHeight w:val="454" w:hRule="exac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ЛУ13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Удаление холестеатомы из ретракционного кармана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3 300</w:t>
            </w:r>
          </w:p>
        </w:tc>
      </w:tr>
      <w:tr>
        <w:trPr>
          <w:trHeight w:val="454" w:hRule="exac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А16.25.008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Удаление инородного тела из слухового отверстия</w:t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ЛУ14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Удаление инородных тел из наружного слухового прохода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1 800</w:t>
            </w:r>
          </w:p>
        </w:tc>
      </w:tr>
      <w:tr>
        <w:trPr>
          <w:trHeight w:val="454" w:hRule="exac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А16.25.007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Удаление ушной серы</w:t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ЛУ15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Удаление серной пробки промыванием (одностороннее)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1 100</w:t>
            </w:r>
          </w:p>
        </w:tc>
      </w:tr>
      <w:tr>
        <w:trPr>
          <w:trHeight w:val="454" w:hRule="exac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А16.25.037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Пластика устья слуховой трубы с использованием видеоэндоскопических технологий</w:t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ЛУ17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Пластика барабанной перепонки при травме под микроскопом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21 000</w:t>
            </w:r>
          </w:p>
        </w:tc>
      </w:tr>
      <w:tr>
        <w:trPr>
          <w:trHeight w:val="454" w:hRule="exac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А16.25.011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Миринготомия</w:t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ЛУ18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Тимпанопункция, парацентез под микроскопом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3 500</w:t>
            </w:r>
          </w:p>
        </w:tc>
      </w:tr>
      <w:tr>
        <w:trPr>
          <w:trHeight w:val="454" w:hRule="exac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А16.25.014.001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Тимпанопластика с применением микрохирургической техники</w:t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ЛУ19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Тимпанопластика  с применением микрохирургической техники I типа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37 000</w:t>
            </w:r>
          </w:p>
        </w:tc>
      </w:tr>
      <w:tr>
        <w:trPr>
          <w:trHeight w:val="454" w:hRule="exac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А16.25.014.001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Тимпанопластика с применением микрохирургической техники</w:t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ЛУ20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Тимпанопластика  с применением микрохирургической техники I</w:t>
            </w:r>
            <w:r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типа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45 000</w:t>
            </w:r>
          </w:p>
        </w:tc>
      </w:tr>
      <w:tr>
        <w:trPr>
          <w:trHeight w:val="454" w:hRule="exac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А16.25.014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Тимпанопластика</w:t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ЛУ21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Тимпанопластика  повторно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20 000</w:t>
            </w:r>
          </w:p>
        </w:tc>
      </w:tr>
      <w:tr>
        <w:trPr>
          <w:trHeight w:val="399" w:hRule="atLeast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А16.25.014.003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Тимпанопластика при наличии осложнений: холестеатомы, фистулы лабиринта, дефектов костных стенок среднего уха, одномоментно с санирующим вмешательством, с применением микрохирургической техники, аутогенных тканей, аллогенных трансплантантов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ЛУ22</w:t>
            </w:r>
          </w:p>
        </w:tc>
        <w:tc>
          <w:tcPr>
            <w:tcW w:w="83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Санирующая операция на ухе  с тимпанопластикой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58 000</w:t>
            </w:r>
          </w:p>
        </w:tc>
      </w:tr>
      <w:tr>
        <w:trPr>
          <w:trHeight w:val="284" w:hRule="atLeast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А16.08.018      А16.25.001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Вскрытие фурункула носа Дренирование фурункула наружного уха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ЛУ27</w:t>
            </w:r>
          </w:p>
        </w:tc>
        <w:tc>
          <w:tcPr>
            <w:tcW w:w="83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Вскрытие абсцедирующих фурункулов уха, носа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4 900</w:t>
            </w:r>
          </w:p>
        </w:tc>
      </w:tr>
      <w:tr>
        <w:trPr>
          <w:trHeight w:val="399" w:hRule="atLeas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А16.01.012</w:t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Вскрытие и дренирование флегмоны (абсцесса)</w:t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ЛУ28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Вскрытие абсцессов, нагноившихся атером до 1 см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4 200</w:t>
            </w:r>
          </w:p>
        </w:tc>
      </w:tr>
      <w:tr>
        <w:trPr>
          <w:trHeight w:val="399" w:hRule="atLeas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А16.01.012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Вскрытие и дренирование флегмоны (абсцесса)</w:t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ЛУ29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Вскрытие абсцессов, нагноившихся атером более 1 см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5 200</w:t>
            </w:r>
          </w:p>
        </w:tc>
      </w:tr>
      <w:tr>
        <w:trPr>
          <w:trHeight w:val="399" w:hRule="atLeas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А16.25.042</w:t>
            </w:r>
          </w:p>
          <w:p>
            <w:pPr>
              <w:pStyle w:val="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Удаление доброкачественного новообразования наружного слухового прохода</w:t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ЛУ30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Удаление новообразования наружного уха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9 500</w:t>
            </w:r>
          </w:p>
        </w:tc>
      </w:tr>
      <w:tr>
        <w:trPr>
          <w:trHeight w:val="399" w:hRule="atLeas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  <w:hyperlink r:id="rId3">
              <w:r>
                <w:rPr>
                  <w:color w:val="000000"/>
                  <w:sz w:val="18"/>
                  <w:szCs w:val="18"/>
                </w:rPr>
                <w:t>A16.25.020</w:t>
              </w:r>
            </w:hyperlink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Шунтирование и дренирование барабанной полости</w:t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ЛУ31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Шунтирование барабанной полости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9 800</w:t>
            </w:r>
          </w:p>
        </w:tc>
      </w:tr>
      <w:tr>
        <w:trPr>
          <w:trHeight w:val="399" w:hRule="atLeas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A16.25.024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Аурикулопластика</w:t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ЛУ32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Отопластика (одна сторона)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21 850</w:t>
            </w:r>
          </w:p>
        </w:tc>
      </w:tr>
      <w:tr>
        <w:trPr>
          <w:trHeight w:val="399" w:hRule="atLeas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А16.25.027.001</w:t>
            </w:r>
          </w:p>
          <w:p>
            <w:pPr>
              <w:pStyle w:val="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Тимпанотомия с рассечением рубцов барабанной полости</w:t>
            </w:r>
          </w:p>
          <w:p>
            <w:pPr>
              <w:pStyle w:val="Normal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ЛУ33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Тимпанотомия с ревизией барабанной полости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28 000</w:t>
            </w:r>
          </w:p>
        </w:tc>
      </w:tr>
      <w:tr>
        <w:trPr>
          <w:trHeight w:val="399" w:hRule="atLeas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hyperlink r:id="rId4">
              <w:r>
                <w:rPr>
                  <w:color w:val="000000"/>
                  <w:sz w:val="18"/>
                  <w:szCs w:val="18"/>
                </w:rPr>
                <w:t>A16.30.076</w:t>
              </w:r>
            </w:hyperlink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Вскрытие гематомы мягких тканей</w:t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ЛУ34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Вскрытие отогематомы методом радиоволновой хирургии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5 500</w:t>
            </w:r>
          </w:p>
        </w:tc>
      </w:tr>
      <w:tr>
        <w:trPr>
          <w:trHeight w:val="399" w:hRule="atLeast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A16.25.043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Иссечение парааурикулярного свища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ЛУ35</w:t>
            </w:r>
          </w:p>
        </w:tc>
        <w:tc>
          <w:tcPr>
            <w:tcW w:w="8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Иссечение периаурикулярной кисты, свища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21 000</w:t>
            </w:r>
          </w:p>
        </w:tc>
      </w:tr>
      <w:tr>
        <w:trPr>
          <w:trHeight w:val="399" w:hRule="atLeast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А17.02.001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Миоэлектростимуляция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ЛУ36</w:t>
            </w:r>
          </w:p>
        </w:tc>
        <w:tc>
          <w:tcPr>
            <w:tcW w:w="83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Электростимуляция слуховых нервов (1 сеанс)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1 000</w:t>
            </w:r>
          </w:p>
        </w:tc>
      </w:tr>
      <w:tr>
        <w:trPr>
          <w:trHeight w:val="399" w:hRule="atLeast"/>
        </w:trPr>
        <w:tc>
          <w:tcPr>
            <w:tcW w:w="1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А17.30.034</w:t>
            </w:r>
          </w:p>
          <w:p>
            <w:pPr>
              <w:pStyle w:val="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  <w:tc>
          <w:tcPr>
            <w:tcW w:w="3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Ультрафонофорез лекарственный  </w:t>
            </w:r>
          </w:p>
        </w:tc>
        <w:tc>
          <w:tcPr>
            <w:tcW w:w="8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ЛУ37</w:t>
            </w:r>
          </w:p>
        </w:tc>
        <w:tc>
          <w:tcPr>
            <w:tcW w:w="83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Ультразвуковой фонофорез при заболевании уха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600</w:t>
            </w:r>
          </w:p>
        </w:tc>
      </w:tr>
      <w:tr>
        <w:trPr>
          <w:trHeight w:val="399" w:hRule="atLeast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В01.028.002</w:t>
            </w:r>
          </w:p>
          <w:p>
            <w:pPr>
              <w:pStyle w:val="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Прием (осмотр, консультация) врача-оториноларинголога повторный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ЛУ38</w:t>
            </w:r>
          </w:p>
        </w:tc>
        <w:tc>
          <w:tcPr>
            <w:tcW w:w="83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Послеоперационный осмотр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1 100</w:t>
            </w:r>
          </w:p>
        </w:tc>
      </w:tr>
      <w:tr>
        <w:trPr>
          <w:trHeight w:val="399" w:hRule="atLeast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Heading1"/>
              <w:jc w:val="left"/>
              <w:rPr>
                <w:b w:val="false"/>
                <w:sz w:val="18"/>
                <w:szCs w:val="18"/>
              </w:rPr>
            </w:pPr>
            <w:r>
              <w:rPr>
                <w:b w:val="false"/>
                <w:sz w:val="18"/>
                <w:szCs w:val="18"/>
              </w:rPr>
              <w:t>A16.25.021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jc w:val="left"/>
              <w:rPr>
                <w:b w:val="false"/>
                <w:sz w:val="18"/>
                <w:szCs w:val="18"/>
              </w:rPr>
            </w:pPr>
            <w:r>
              <w:rPr>
                <w:b w:val="false"/>
                <w:sz w:val="18"/>
                <w:szCs w:val="18"/>
              </w:rPr>
              <w:t>Устранение дефекта ушной раковины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ЛУ39</w:t>
            </w:r>
          </w:p>
        </w:tc>
        <w:tc>
          <w:tcPr>
            <w:tcW w:w="8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Коррекция мочки ушной раковины (1 мочка) неполный разрыв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7 300</w:t>
            </w:r>
          </w:p>
        </w:tc>
      </w:tr>
      <w:tr>
        <w:trPr>
          <w:trHeight w:val="399" w:hRule="atLeast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Heading1"/>
              <w:jc w:val="left"/>
              <w:rPr>
                <w:b w:val="false"/>
                <w:sz w:val="18"/>
                <w:szCs w:val="18"/>
              </w:rPr>
            </w:pPr>
            <w:r>
              <w:rPr>
                <w:b w:val="false"/>
                <w:sz w:val="18"/>
                <w:szCs w:val="18"/>
              </w:rPr>
              <w:t>A16.25.021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jc w:val="left"/>
              <w:rPr>
                <w:b w:val="false"/>
                <w:sz w:val="18"/>
                <w:szCs w:val="18"/>
              </w:rPr>
            </w:pPr>
            <w:r>
              <w:rPr>
                <w:b w:val="false"/>
                <w:sz w:val="18"/>
                <w:szCs w:val="18"/>
              </w:rPr>
              <w:t>Устранение дефекта ушной раковины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ЛУ40</w:t>
            </w:r>
          </w:p>
        </w:tc>
        <w:tc>
          <w:tcPr>
            <w:tcW w:w="8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Коррекция мочки ушной раковины (1 мочка) полный разрыв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13 000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tbl>
      <w:tblPr>
        <w:tblW w:w="1584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5"/>
        <w:gridCol w:w="3687"/>
        <w:gridCol w:w="851"/>
        <w:gridCol w:w="8362"/>
        <w:gridCol w:w="1418"/>
      </w:tblGrid>
      <w:tr>
        <w:trPr>
          <w:trHeight w:val="399" w:hRule="atLeast"/>
        </w:trPr>
        <w:tc>
          <w:tcPr>
            <w:tcW w:w="15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ageBreakBefore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color w:val="64B8B5"/>
                <w:sz w:val="28"/>
              </w:rPr>
              <w:t>РИНОСКОПИЧЕСКИЕ ПРОЦЕДУРЫ</w:t>
            </w:r>
          </w:p>
        </w:tc>
      </w:tr>
      <w:tr>
        <w:trPr>
          <w:trHeight w:val="510" w:hRule="exac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A16.08.023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Промывание верхнечелюстной пазухи носа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ЛН1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Вакуум-дренаж околоносовых пазух методом перемещения по Проетцу (1 сеанс)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1 100</w:t>
            </w:r>
          </w:p>
        </w:tc>
      </w:tr>
      <w:tr>
        <w:trPr>
          <w:trHeight w:val="510" w:hRule="exac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А11.08.004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Пункция околоносовых пазух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ЛН2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Пункция верхнечелюстной пазухи (местная аппликационная анестезия)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2 000</w:t>
            </w:r>
          </w:p>
        </w:tc>
      </w:tr>
      <w:tr>
        <w:trPr>
          <w:trHeight w:val="510" w:hRule="exac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А11.08.004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Пункция околоносовых пазух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ЛН3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Пункция верхнечелюстной пазухи с постановкой дренажа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2 300</w:t>
            </w:r>
          </w:p>
        </w:tc>
      </w:tr>
      <w:tr>
        <w:trPr>
          <w:trHeight w:val="510" w:hRule="exac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А16.08.023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Промывание верхнечелюстной пазухи носа</w:t>
            </w:r>
          </w:p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ЛН4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Промывание гайморовой пазухи через катетер (1 сеанс)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1 000</w:t>
            </w:r>
          </w:p>
        </w:tc>
      </w:tr>
      <w:tr>
        <w:trPr>
          <w:trHeight w:val="510" w:hRule="exac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ЛН5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Прижигание сосудов в зоне Киссельбаха AgNO3 50%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1 900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А14.08.006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Введение лекарственных препаратов интраназально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ЛН6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Целенаправленное введение лекарственных средств в полость носа (1 сеанс)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650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A11.08.005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Внутриносовые блокады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ЛН7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Внутриносовая блокада двухсторонняя (1 сеанс)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1 500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А16.08.011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Удаление инородного тела носа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ЛН9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Удаление инородных тел из полости носа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1 600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A16.08.067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Вскрытие гематомы верхних дыхательных путей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ЛН10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Вскрытие гематомы носовой перегородки, нагноившейся гематомы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5 000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А16.08.018      А16.25.001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Вскрытие фурункула носа Дренирование фурункула наружного уха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ЛН11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Вскрытие абсцедирующих фурункулов уха, носа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5 000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А16.01.012</w:t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Вскрытие и дренирование флегмоны (абсцесса)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ЛН12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Вскрытие абсцессов, нагноившихся атером до 1 см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4 200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А16.01.012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Вскрытие и дренирование флегмоны (абсцесса)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ЛН13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Вскрытие абсцессов, нагноившихся атером более 1 см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5 500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A16.08.035.001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Удаление новообразования полости носа с использованием видеоэндоскопических технологий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ЛН14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Удаление новообразований носоглотки, полости носа эндоскопически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23 000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ЛН15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Коагуляция сосудов носовой перегородки лазером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8 000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А16.08.015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Гальванокаустика нижних носовых раковин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ЛН16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Лазерная криоабляция  задних концов нижних носовых раковин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22 000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А16.08.055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Иссечение синехий и атрезий носа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ЛН17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Эндоскопическое радиоволновое рассечение рубцов, синехий полости носа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14 000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А16.08.002.001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Аденоидэктомия с использованием видеоэндоскопических технологий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ЛН18</w:t>
            </w:r>
          </w:p>
        </w:tc>
        <w:tc>
          <w:tcPr>
            <w:tcW w:w="83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Эндоскопическая аденотомия методом РВД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38 500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А16.08.002.001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Аденоидэктомия с использованием видеоэндоскопических технологий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ЛН19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Эндоскопическая аденотомия шейверным методом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38 500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А16.27.003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Сфеноидотомия</w:t>
            </w:r>
          </w:p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sz w:val="22"/>
                <w:szCs w:val="22"/>
              </w:rPr>
              <w:t>ЛН20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Эндоскопическая сфеноидотомия (1 сторона)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28 000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А16.08.072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Инфундибулотомия с использованием видеоэндоскопических технологий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ЛН21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Эндоскопическая инфундибулотомия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24 500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А16.08.009.001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Удаление полипов носовых ходов с использованием видеоэндоскопических технологий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ЛН22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Эндоскопическая шейверная полипотомия полости носа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35 000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А16.08.017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Радикальная операция на верхнечелюстных пазухах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ЛН23</w:t>
            </w:r>
          </w:p>
        </w:tc>
        <w:tc>
          <w:tcPr>
            <w:tcW w:w="83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Эндоскопическая полисинусотомия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48 500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А16.08.017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Радикальная операция на верхнечелюстных пазухах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ЛН24</w:t>
            </w:r>
          </w:p>
        </w:tc>
        <w:tc>
          <w:tcPr>
            <w:tcW w:w="83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Эндоскопическое удаление кисты (полипа)  гайморовой пазухи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29 000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  <w:hyperlink r:id="rId5">
              <w:r>
                <w:rPr>
                  <w:color w:val="000000"/>
                  <w:sz w:val="18"/>
                  <w:szCs w:val="18"/>
                </w:rPr>
                <w:t>A16.08.010.001</w:t>
              </w:r>
            </w:hyperlink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Подслизистая вазотомия нижних носовых раковин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ЛН25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color w:val="151515"/>
                <w:sz w:val="22"/>
                <w:szCs w:val="22"/>
                <w:shd w:fill="FFFFFF" w:val="clear"/>
              </w:rPr>
              <w:t>Лазерная вазотомия нижних носовых раковин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28 000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А16.08.017.002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Микрогайморотомия с использованием видеоэндоскопических технологий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ЛН26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Эндоскопическая микрогайморотомия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35 000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А16.08.015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Гальванокаустика нижних носовых раковин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ЛН27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Подслизистая вазотомия нижних носовых раковин методом РВД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22 500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A16.08.066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Риносептопластика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ЛН28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Закрытая функциональная  ринопластика     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55 000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A16.08.010.004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Шейверная конхотомия с использованием видеоэндоскопических технологий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ЛН29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Эндоскопическая  интрамуральная конхотомия    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29 000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А16.08.013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Септопластика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ЛН30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Септопластика традиционный метод    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33 000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А16.08.013.001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Пластика носовой перегородки с использованием видеоэндоскопических технологий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ЛН31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Эндоскопическая септопластика     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44 000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А16.08.013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Септопластика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ЛН32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Кристотомия перегородки носа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29 000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A16.08.066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Риносептопластика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ЛН33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Открытая функциональная ринопластика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105 000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A16.08.066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Риносептопластика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ЛН34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Функциональная ринопластика кожно-хрящевого отдела носа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52 000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A16.08.014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Репозиция костей носа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ЛН35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Репозиция костей носа экстренная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15 500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А16.27.002.001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Этмоидотомия с использованием видеоэндоскопических технологий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ЛН36</w:t>
            </w:r>
          </w:p>
        </w:tc>
        <w:tc>
          <w:tcPr>
            <w:tcW w:w="83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Эндоскопическая этмоидотомия (1 сторона)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23 500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А16.08.035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Удаление новообразования полости носа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ЛН37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РВД доброкачественных новообразований полости носа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11 900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A11.08.021</w:t>
            </w:r>
          </w:p>
          <w:p>
            <w:pPr>
              <w:pStyle w:val="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Промывание околоносовых пазух и носоглотки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ЛН38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Проведение туалета полости носа после осмотра врачом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1 000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A11.08.021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Промывание околоносовых пазух и носоглотки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ЛН39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Туалет полости носа послеоперационный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1 150</w:t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А16.08.013</w:t>
            </w:r>
          </w:p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А16.08.015</w:t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Септопластика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Гальванокаустика нижних носовых раковин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ЛН40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Постановка адсорбирующего анатомического неадгезивного назального  тампона  “</w:t>
            </w:r>
            <w:r>
              <w:rPr>
                <w:sz w:val="22"/>
                <w:szCs w:val="22"/>
                <w:lang w:val="en-US"/>
              </w:rPr>
              <w:t>STIP</w:t>
            </w:r>
            <w:r>
              <w:rPr>
                <w:sz w:val="22"/>
                <w:szCs w:val="22"/>
              </w:rPr>
              <w:t>” (1 шт.)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3 000</w:t>
            </w:r>
          </w:p>
        </w:tc>
      </w:tr>
      <w:tr>
        <w:trPr>
          <w:trHeight w:val="567" w:hRule="exac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А16.08.013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Септопластика</w:t>
            </w:r>
          </w:p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ЛН41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Постановка шины интераназальной </w:t>
            </w:r>
            <w:r>
              <w:rPr>
                <w:sz w:val="22"/>
                <w:szCs w:val="22"/>
                <w:lang w:val="en-US"/>
              </w:rPr>
              <w:t>SPIGGLE</w:t>
            </w:r>
            <w:r>
              <w:rPr>
                <w:sz w:val="22"/>
                <w:szCs w:val="22"/>
              </w:rPr>
              <w:t>&amp;</w:t>
            </w:r>
            <w:r>
              <w:rPr>
                <w:sz w:val="22"/>
                <w:szCs w:val="22"/>
                <w:lang w:val="en-US"/>
              </w:rPr>
              <w:t>THEIS</w:t>
            </w:r>
            <w:r>
              <w:rPr>
                <w:sz w:val="22"/>
                <w:szCs w:val="22"/>
              </w:rPr>
              <w:t xml:space="preserve"> для перегородки носа (простая)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2 500</w:t>
            </w:r>
          </w:p>
        </w:tc>
      </w:tr>
      <w:tr>
        <w:trPr>
          <w:trHeight w:val="624" w:hRule="exact"/>
        </w:trPr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А16.08.013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Септопластика</w:t>
            </w:r>
          </w:p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ЛН42</w:t>
            </w:r>
          </w:p>
        </w:tc>
        <w:tc>
          <w:tcPr>
            <w:tcW w:w="83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Постановка шины интраназальной SPIGGLE &amp; THEIS для перегородки носа с воздушным клапаном (1пара)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8 500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tbl>
      <w:tblPr>
        <w:tblW w:w="1572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80"/>
        <w:gridCol w:w="3595"/>
        <w:gridCol w:w="926"/>
        <w:gridCol w:w="8364"/>
        <w:gridCol w:w="1456"/>
      </w:tblGrid>
      <w:tr>
        <w:trPr>
          <w:trHeight w:val="399" w:hRule="atLeast"/>
        </w:trPr>
        <w:tc>
          <w:tcPr>
            <w:tcW w:w="157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ageBreakBefore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color w:val="64B8B5"/>
                <w:sz w:val="28"/>
              </w:rPr>
              <w:t>ЛАРИНГОСКОПИЧЕСКИЕ ПРОЦЕДУРЫ</w:t>
            </w:r>
          </w:p>
        </w:tc>
      </w:tr>
      <w:tr>
        <w:trPr>
          <w:trHeight w:val="624" w:hRule="exac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A11.08.023</w:t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Инстилляция лекарственных препаратов при заболеваниях верхних дыхательных путей</w:t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ЛГ1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Целенаправленное введение лекарственных средств в глотку или смазывание раствором  Люголя и другими лекарственными средствами (1сеанс)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900</w:t>
            </w:r>
          </w:p>
        </w:tc>
      </w:tr>
      <w:tr>
        <w:trPr>
          <w:trHeight w:val="624" w:hRule="exac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A11.08.023</w:t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Инстилляция лекарственных препаратов при заболеваниях верхних дыхательных путей</w:t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ЛГ2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Вливание в гортань лекарственных средств (1 сеанс)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1 100</w:t>
            </w:r>
          </w:p>
        </w:tc>
      </w:tr>
      <w:tr>
        <w:trPr>
          <w:trHeight w:val="567" w:hRule="exac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А16.08.016</w:t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Промывание лакун миндалин</w:t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ЛГ3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Лечение хронического тонзиллита ультразвуковым аппаратом ТОНЗИЛОР-М  с промыванием и аспираций лакун (1 сеанс)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1 000</w:t>
            </w:r>
          </w:p>
        </w:tc>
      </w:tr>
      <w:tr>
        <w:trPr>
          <w:trHeight w:val="567" w:hRule="exac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А16.08.016</w:t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Промывание лакун миндалин</w:t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ЛГ4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Лечение хронического тонзиллита ультразвуковым аппаратом ТОНЗИЛОР-М  аппликационным способом (1 сеанс)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600</w:t>
            </w:r>
          </w:p>
        </w:tc>
      </w:tr>
      <w:tr>
        <w:trPr>
          <w:trHeight w:val="399" w:hRule="atLeas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A17.08.003</w:t>
            </w:r>
          </w:p>
          <w:p>
            <w:pPr>
              <w:pStyle w:val="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Аэрозольтерапия при заболеваниях верхних дыхательных путей</w:t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ЛГ5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Лечение хронического фарингита ультразвуковым аппаратом ТОНЗИЛОР-М (методом орошения)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1 000</w:t>
            </w:r>
          </w:p>
        </w:tc>
      </w:tr>
      <w:tr>
        <w:trPr>
          <w:trHeight w:val="340" w:hRule="exac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А16.08.016</w:t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Промывание лакун миндалин</w:t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ЛГ6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Промывание лакун небных миндалин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1 500</w:t>
            </w:r>
          </w:p>
        </w:tc>
      </w:tr>
      <w:tr>
        <w:trPr>
          <w:trHeight w:val="340" w:hRule="exac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А16.08.012</w:t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Вскрытие паратонзиллярного абсцесса</w:t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ЛГ7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Вскрытие паратонзиллярного абсцесса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4 700</w:t>
            </w:r>
          </w:p>
        </w:tc>
      </w:tr>
      <w:tr>
        <w:trPr>
          <w:trHeight w:val="340" w:hRule="exac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ЛГ8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Разведение краев абсцесса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1 000</w:t>
            </w:r>
          </w:p>
        </w:tc>
      </w:tr>
      <w:tr>
        <w:trPr>
          <w:trHeight w:val="340" w:hRule="exac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A24.08.003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Туширование слизистой носоглотки</w:t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ЛГ9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Прижигание гранул задней стенки глотки раствором серебра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1 000</w:t>
            </w:r>
          </w:p>
        </w:tc>
      </w:tr>
      <w:tr>
        <w:trPr>
          <w:trHeight w:val="340" w:hRule="exac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ЛГ10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Опорожнение кисты небной миндалины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1 500</w:t>
            </w:r>
          </w:p>
        </w:tc>
      </w:tr>
      <w:tr>
        <w:trPr>
          <w:trHeight w:val="340" w:hRule="exac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ЛГ11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Инфильтрационная терапия  задней стенки глотки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2 300</w:t>
            </w:r>
          </w:p>
        </w:tc>
      </w:tr>
      <w:tr>
        <w:trPr>
          <w:trHeight w:val="454" w:hRule="exac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А16.08.007</w:t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Удаление инородного тела глотки или гортани</w:t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ЛГ12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Удаление инородных тел из  глотки (гортани)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2 000</w:t>
            </w:r>
          </w:p>
        </w:tc>
      </w:tr>
      <w:tr>
        <w:trPr>
          <w:trHeight w:val="454" w:hRule="exac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A11.08.001.001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Биопсия тканей гортани под контролем ларингоскопического исследования</w:t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ЛГ15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Удаление новообразований гортани методом опорной микроларингоскопии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25 000</w:t>
            </w:r>
          </w:p>
        </w:tc>
      </w:tr>
      <w:tr>
        <w:trPr>
          <w:trHeight w:val="454" w:hRule="exac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A11.08.001.001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Биопсия тканей гортани под контролем ларингоскопического исследования</w:t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ЛГ16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Удаление новообразований гортаноглотки методом опорной микроларингоскопии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29 000</w:t>
            </w:r>
          </w:p>
        </w:tc>
      </w:tr>
      <w:tr>
        <w:trPr>
          <w:trHeight w:val="340" w:hRule="exac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ЛГ17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Удаление новообразований гортани   эндоскопически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25 000</w:t>
            </w:r>
          </w:p>
        </w:tc>
      </w:tr>
      <w:tr>
        <w:trPr>
          <w:trHeight w:val="340" w:hRule="exac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ЛГ18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РВД/лазерная дезинтеграция гранул и боковых валиков глотки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10 350</w:t>
            </w:r>
          </w:p>
        </w:tc>
      </w:tr>
      <w:tr>
        <w:trPr>
          <w:trHeight w:val="340" w:hRule="exac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ЛГ19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РВД доброкачественных новообразований полости рта, ротоглотки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10 500</w:t>
            </w:r>
          </w:p>
        </w:tc>
      </w:tr>
      <w:tr>
        <w:trPr>
          <w:trHeight w:val="340" w:hRule="exac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А16.08.064</w:t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Тонзиллотомия</w:t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ЛГ20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Тонзиллотомия традиционным методом (1 сторона)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13 000</w:t>
            </w:r>
          </w:p>
        </w:tc>
      </w:tr>
      <w:tr>
        <w:trPr>
          <w:trHeight w:val="340" w:hRule="exac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А16.08.064</w:t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Тонзиллотомия</w:t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ЛГ21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Тонзиллэктомия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40 000</w:t>
            </w:r>
          </w:p>
        </w:tc>
      </w:tr>
      <w:tr>
        <w:trPr>
          <w:trHeight w:val="340" w:hRule="exac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А16.07.087</w:t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Увулопластика</w:t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ЛГ22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Резекция язычка методом РВД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20 000</w:t>
            </w:r>
          </w:p>
        </w:tc>
      </w:tr>
      <w:tr>
        <w:trPr>
          <w:trHeight w:val="340" w:hRule="exact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А16.07.087</w:t>
            </w:r>
          </w:p>
        </w:tc>
        <w:tc>
          <w:tcPr>
            <w:tcW w:w="3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Увулопластика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ЛГ23</w:t>
            </w:r>
          </w:p>
        </w:tc>
        <w:tc>
          <w:tcPr>
            <w:tcW w:w="83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Резекция мягкого неба методом РВД с палатопластикой</w:t>
            </w:r>
          </w:p>
        </w:tc>
        <w:tc>
          <w:tcPr>
            <w:tcW w:w="14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27 000</w:t>
            </w:r>
          </w:p>
        </w:tc>
      </w:tr>
      <w:tr>
        <w:trPr>
          <w:trHeight w:val="340" w:hRule="exact"/>
        </w:trPr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ЛГ24</w:t>
            </w:r>
          </w:p>
        </w:tc>
        <w:tc>
          <w:tcPr>
            <w:tcW w:w="836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РВД кисты небной миндалины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9 500</w:t>
            </w:r>
          </w:p>
        </w:tc>
      </w:tr>
      <w:tr>
        <w:trPr>
          <w:trHeight w:val="454" w:hRule="exact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В01.028.002</w:t>
            </w:r>
          </w:p>
          <w:p>
            <w:pPr>
              <w:pStyle w:val="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  <w:tc>
          <w:tcPr>
            <w:tcW w:w="3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Прием (осмотр, консультация) врача-оториноларинголога повторный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ЛГ25</w:t>
            </w:r>
          </w:p>
        </w:tc>
        <w:tc>
          <w:tcPr>
            <w:tcW w:w="83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Послеоперационный осмотр</w:t>
            </w:r>
          </w:p>
        </w:tc>
        <w:tc>
          <w:tcPr>
            <w:tcW w:w="14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1 500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tbl>
      <w:tblPr>
        <w:tblW w:w="1591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82"/>
        <w:gridCol w:w="3744"/>
        <w:gridCol w:w="956"/>
        <w:gridCol w:w="8255"/>
        <w:gridCol w:w="1574"/>
      </w:tblGrid>
      <w:tr>
        <w:trPr>
          <w:trHeight w:val="459" w:hRule="atLeast"/>
        </w:trPr>
        <w:tc>
          <w:tcPr>
            <w:tcW w:w="159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ageBreakBefore/>
              <w:spacing w:before="0" w:after="0"/>
              <w:jc w:val="center"/>
              <w:rPr>
                <w:b/>
                <w:bCs/>
                <w:color w:val="64B8B5"/>
                <w:sz w:val="28"/>
              </w:rPr>
            </w:pPr>
            <w:r>
              <w:rPr>
                <w:b/>
                <w:bCs/>
                <w:color w:val="64B8B5"/>
                <w:sz w:val="28"/>
              </w:rPr>
              <w:t>МАНИПУЛЯЦИИ</w:t>
            </w:r>
          </w:p>
        </w:tc>
      </w:tr>
      <w:tr>
        <w:trPr>
          <w:trHeight w:val="624" w:hRule="exact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A11.01.002</w:t>
            </w:r>
            <w:r>
              <w:rPr>
                <w:color w:val="000000"/>
                <w:sz w:val="18"/>
                <w:szCs w:val="18"/>
              </w:rPr>
              <w:br w:type="textWrapping" w:clear="all"/>
            </w:r>
            <w:r>
              <w:rPr>
                <w:color w:val="000000"/>
                <w:sz w:val="18"/>
                <w:szCs w:val="18"/>
              </w:rPr>
              <w:br w:type="textWrapping" w:clear="all"/>
            </w:r>
            <w:r>
              <w:rPr>
                <w:color w:val="000000"/>
                <w:sz w:val="18"/>
                <w:szCs w:val="18"/>
              </w:rPr>
              <w:t>A11.02.002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Подкожное введение лекарственных препаратов. Внутримышечное введение лекарственных препаратов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М1</w:t>
            </w:r>
          </w:p>
        </w:tc>
        <w:tc>
          <w:tcPr>
            <w:tcW w:w="82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Внутримышечная инъекция, подкожная инъекция</w:t>
            </w:r>
          </w:p>
        </w:tc>
        <w:tc>
          <w:tcPr>
            <w:tcW w:w="15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300</w:t>
            </w:r>
          </w:p>
        </w:tc>
      </w:tr>
      <w:tr>
        <w:trPr>
          <w:trHeight w:val="340" w:hRule="atLeast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A11.12.003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Внутривенное введение лекарственных препаратов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М2</w:t>
            </w:r>
          </w:p>
        </w:tc>
        <w:tc>
          <w:tcPr>
            <w:tcW w:w="82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Внутривенная  инъекция (без стоимости лекарственных препаратов)</w:t>
            </w:r>
          </w:p>
        </w:tc>
        <w:tc>
          <w:tcPr>
            <w:tcW w:w="15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400</w:t>
            </w:r>
          </w:p>
        </w:tc>
      </w:tr>
      <w:tr>
        <w:trPr>
          <w:trHeight w:val="340" w:hRule="atLeast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A11.12.003.001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Непрерывное внутривенное введение лекарственных препаратов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</w:rPr>
              <w:t>М3</w:t>
            </w:r>
          </w:p>
        </w:tc>
        <w:tc>
          <w:tcPr>
            <w:tcW w:w="82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Внутривенное капельное введение (без стоимости лекарственных препаратов)</w:t>
            </w:r>
          </w:p>
        </w:tc>
        <w:tc>
          <w:tcPr>
            <w:tcW w:w="15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850</w:t>
            </w:r>
          </w:p>
        </w:tc>
      </w:tr>
      <w:tr>
        <w:trPr>
          <w:trHeight w:val="567" w:hRule="exact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А11.09.007.001</w:t>
            </w:r>
          </w:p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Ингаляторное введение лекарственных препаратов через небулайзер</w:t>
            </w:r>
          </w:p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М4</w:t>
            </w:r>
          </w:p>
        </w:tc>
        <w:tc>
          <w:tcPr>
            <w:tcW w:w="82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</w:rPr>
            </w:pPr>
            <w:r>
              <w:rPr>
                <w:sz w:val="22"/>
              </w:rPr>
              <w:t>Ингаляция с бронхолитическими препаратами, анестетиками, либо другими назначенными препаратами, после осмотра врачом</w:t>
            </w:r>
          </w:p>
        </w:tc>
        <w:tc>
          <w:tcPr>
            <w:tcW w:w="15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500</w:t>
            </w:r>
          </w:p>
        </w:tc>
      </w:tr>
      <w:tr>
        <w:trPr>
          <w:trHeight w:val="340" w:hRule="atLeast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М5</w:t>
            </w:r>
          </w:p>
        </w:tc>
        <w:tc>
          <w:tcPr>
            <w:tcW w:w="82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</w:rPr>
            </w:pPr>
            <w:r>
              <w:rPr>
                <w:sz w:val="22"/>
              </w:rPr>
              <w:t xml:space="preserve">Экспресс-тест на </w:t>
            </w:r>
            <w:r>
              <w:rPr>
                <w:sz w:val="22"/>
                <w:lang w:val="en-US"/>
              </w:rPr>
              <w:t>COVID</w:t>
            </w:r>
            <w:r>
              <w:rPr>
                <w:sz w:val="22"/>
              </w:rPr>
              <w:t>-19 и грипп А/В (РОССИЯ)</w:t>
            </w:r>
          </w:p>
        </w:tc>
        <w:tc>
          <w:tcPr>
            <w:tcW w:w="15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1 200</w:t>
            </w:r>
          </w:p>
        </w:tc>
      </w:tr>
      <w:tr>
        <w:trPr>
          <w:trHeight w:val="340" w:hRule="atLeast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A11.12.009</w:t>
            </w:r>
          </w:p>
          <w:p>
            <w:pPr>
              <w:pStyle w:val="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Взятие крови из периферической вены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ЗБ1</w:t>
            </w:r>
          </w:p>
        </w:tc>
        <w:tc>
          <w:tcPr>
            <w:tcW w:w="82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Взятие крови из вены для проведения анализов в лаборатории «Инвитро»</w:t>
            </w:r>
          </w:p>
        </w:tc>
        <w:tc>
          <w:tcPr>
            <w:tcW w:w="15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350</w:t>
            </w:r>
          </w:p>
        </w:tc>
      </w:tr>
      <w:tr>
        <w:trPr>
          <w:trHeight w:val="340" w:hRule="atLeast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br w:type="textWrapping" w:clear="all"/>
            </w:r>
            <w:r>
              <w:rPr>
                <w:color w:val="000000"/>
                <w:sz w:val="18"/>
                <w:szCs w:val="18"/>
              </w:rPr>
              <w:t>A26.08.070</w:t>
            </w:r>
          </w:p>
          <w:p>
            <w:pPr>
              <w:pStyle w:val="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Иммунохроматографическое экспресс-исследование мазка из зева на стрептококки группы A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ЗБ2</w:t>
            </w:r>
          </w:p>
        </w:tc>
        <w:tc>
          <w:tcPr>
            <w:tcW w:w="82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Взятие врачом материала для микробиологических исследований</w:t>
            </w:r>
          </w:p>
        </w:tc>
        <w:tc>
          <w:tcPr>
            <w:tcW w:w="15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450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tbl>
      <w:tblPr>
        <w:tblW w:w="1573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61"/>
        <w:gridCol w:w="3689"/>
        <w:gridCol w:w="1000"/>
        <w:gridCol w:w="7899"/>
        <w:gridCol w:w="1682"/>
      </w:tblGrid>
      <w:tr>
        <w:trPr>
          <w:trHeight w:val="397" w:hRule="atLeast"/>
        </w:trPr>
        <w:tc>
          <w:tcPr>
            <w:tcW w:w="157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ageBreakBefore/>
              <w:spacing w:before="0" w:after="0"/>
              <w:jc w:val="center"/>
              <w:rPr>
                <w:b/>
                <w:bCs/>
              </w:rPr>
            </w:pPr>
            <w:r>
              <w:rPr>
                <w:b/>
                <w:bCs/>
                <w:color w:val="64B8B5"/>
                <w:sz w:val="28"/>
              </w:rPr>
              <w:t>АНЕСТЕЗИОЛОГИЯ</w:t>
            </w:r>
          </w:p>
        </w:tc>
      </w:tr>
      <w:tr>
        <w:trPr>
          <w:trHeight w:val="510" w:hRule="exact"/>
        </w:trPr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B01.003.004.009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Тотальная внутривенная анестезия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А1 </w:t>
            </w:r>
          </w:p>
        </w:tc>
        <w:tc>
          <w:tcPr>
            <w:tcW w:w="78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</w:rPr>
            </w:pPr>
            <w:r>
              <w:rPr>
                <w:sz w:val="22"/>
              </w:rPr>
              <w:t xml:space="preserve">Внутривенный наркоз 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8 900</w:t>
            </w:r>
          </w:p>
        </w:tc>
      </w:tr>
      <w:tr>
        <w:trPr>
          <w:trHeight w:val="510" w:hRule="exact"/>
        </w:trPr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B01.003.004.012</w:t>
            </w:r>
          </w:p>
          <w:p>
            <w:pPr>
              <w:pStyle w:val="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Комбинированный ингаляционный наркоз (в том числе с применением ксенона)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А2</w:t>
            </w:r>
          </w:p>
        </w:tc>
        <w:tc>
          <w:tcPr>
            <w:tcW w:w="78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Наркоз с ларингеальной маской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</w:rPr>
              <w:t>12 600</w:t>
            </w:r>
          </w:p>
        </w:tc>
      </w:tr>
      <w:tr>
        <w:trPr>
          <w:trHeight w:val="510" w:hRule="exact"/>
        </w:trPr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B01.003.004.010</w:t>
            </w:r>
          </w:p>
          <w:p>
            <w:pPr>
              <w:pStyle w:val="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Комбинированный эндотрахеальный наркоз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А3</w:t>
            </w:r>
          </w:p>
        </w:tc>
        <w:tc>
          <w:tcPr>
            <w:tcW w:w="78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Эндотрахеальный наркоз с расширенной группой препаратов (длительность до 1 часа)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</w:rPr>
              <w:t>18 900</w:t>
            </w:r>
          </w:p>
        </w:tc>
      </w:tr>
      <w:tr>
        <w:trPr>
          <w:trHeight w:val="510" w:hRule="exact"/>
        </w:trPr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B01.003.004.010</w:t>
            </w:r>
          </w:p>
          <w:p>
            <w:pPr>
              <w:pStyle w:val="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Комбинированный эндотрахеальный наркоз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А4</w:t>
            </w:r>
          </w:p>
        </w:tc>
        <w:tc>
          <w:tcPr>
            <w:tcW w:w="78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Эндотрахеальный наркоз с расширенной группой препаратов (за каждый дополнительный час)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</w:rPr>
              <w:t>12 000</w:t>
            </w:r>
          </w:p>
        </w:tc>
      </w:tr>
      <w:tr>
        <w:trPr>
          <w:trHeight w:val="510" w:hRule="exact"/>
        </w:trPr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B01.003.004.005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Инфильтрационная анестезия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А5</w:t>
            </w:r>
          </w:p>
        </w:tc>
        <w:tc>
          <w:tcPr>
            <w:tcW w:w="78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</w:rPr>
            </w:pPr>
            <w:r>
              <w:rPr>
                <w:sz w:val="22"/>
              </w:rPr>
              <w:t xml:space="preserve">Инфильтрационная анестезия 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950</w:t>
            </w:r>
          </w:p>
        </w:tc>
      </w:tr>
      <w:tr>
        <w:trPr>
          <w:trHeight w:val="510" w:hRule="exact"/>
        </w:trPr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B01.003.001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Осмотр (консультация) врачом-анестезиологом-реаниматологом первичный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А6</w:t>
            </w:r>
          </w:p>
        </w:tc>
        <w:tc>
          <w:tcPr>
            <w:tcW w:w="78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</w:rPr>
            </w:pPr>
            <w:r>
              <w:rPr>
                <w:sz w:val="22"/>
              </w:rPr>
              <w:t>Консультация врача-анестезиолога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2 500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584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63"/>
        <w:gridCol w:w="2810"/>
        <w:gridCol w:w="1336"/>
        <w:gridCol w:w="8604"/>
        <w:gridCol w:w="1529"/>
      </w:tblGrid>
      <w:tr>
        <w:trPr>
          <w:trHeight w:val="397" w:hRule="atLeast"/>
        </w:trPr>
        <w:tc>
          <w:tcPr>
            <w:tcW w:w="158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</w:rPr>
            </w:pPr>
            <w:r>
              <w:rPr>
                <w:b/>
                <w:bCs/>
                <w:color w:val="64B8B5"/>
                <w:sz w:val="28"/>
              </w:rPr>
              <w:t>ТЕРАПИЯ</w:t>
            </w:r>
          </w:p>
        </w:tc>
      </w:tr>
      <w:tr>
        <w:trPr>
          <w:trHeight w:val="510" w:hRule="exact"/>
        </w:trPr>
        <w:tc>
          <w:tcPr>
            <w:tcW w:w="1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В01.031.001             </w:t>
            </w:r>
          </w:p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2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-4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</w:t>
            </w:r>
            <w:r>
              <w:rPr>
                <w:color w:val="000000"/>
                <w:sz w:val="18"/>
                <w:szCs w:val="18"/>
              </w:rPr>
              <w:t xml:space="preserve">Прием (осмотр, консультация) врача-педиатра первичный        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Т1</w:t>
            </w:r>
          </w:p>
        </w:tc>
        <w:tc>
          <w:tcPr>
            <w:tcW w:w="86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</w:rPr>
            </w:pPr>
            <w:r>
              <w:rPr>
                <w:sz w:val="22"/>
              </w:rPr>
              <w:t>Прием специалиста первичный педиатр</w:t>
            </w:r>
          </w:p>
        </w:tc>
        <w:tc>
          <w:tcPr>
            <w:tcW w:w="15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2 000</w:t>
            </w:r>
          </w:p>
        </w:tc>
      </w:tr>
      <w:tr>
        <w:trPr>
          <w:trHeight w:val="510" w:hRule="exact"/>
        </w:trPr>
        <w:tc>
          <w:tcPr>
            <w:tcW w:w="1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В01.031.002                   </w:t>
            </w:r>
          </w:p>
          <w:p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2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Прием (осмотр, консультация) врача-педиатра повторный 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Т2</w:t>
            </w:r>
          </w:p>
        </w:tc>
        <w:tc>
          <w:tcPr>
            <w:tcW w:w="86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</w:rPr>
            </w:pPr>
            <w:r>
              <w:rPr>
                <w:sz w:val="22"/>
              </w:rPr>
              <w:t>Прием специалиста повторный  педиатр</w:t>
            </w:r>
          </w:p>
        </w:tc>
        <w:tc>
          <w:tcPr>
            <w:tcW w:w="15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1 800</w:t>
            </w:r>
          </w:p>
        </w:tc>
      </w:tr>
      <w:tr>
        <w:trPr>
          <w:trHeight w:val="315" w:hRule="atLeast"/>
        </w:trPr>
        <w:tc>
          <w:tcPr>
            <w:tcW w:w="1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  <w:hyperlink r:id="rId6">
              <w:r>
                <w:rPr>
                  <w:color w:val="000000"/>
                  <w:sz w:val="18"/>
                  <w:szCs w:val="18"/>
                </w:rPr>
                <w:t>B04.031.002</w:t>
              </w:r>
            </w:hyperlink>
          </w:p>
        </w:tc>
        <w:tc>
          <w:tcPr>
            <w:tcW w:w="2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Профилактический прием (осмотр, консультация) врача-педиатра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Т3</w:t>
            </w:r>
          </w:p>
        </w:tc>
        <w:tc>
          <w:tcPr>
            <w:tcW w:w="86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Профилактический осмотр детей  с 1 до 12 месяцев включительно (врач-педиатр  Кислухин А.П.)</w:t>
            </w:r>
          </w:p>
        </w:tc>
        <w:tc>
          <w:tcPr>
            <w:tcW w:w="15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</w:rPr>
              <w:t>1 800</w:t>
            </w:r>
          </w:p>
        </w:tc>
      </w:tr>
      <w:tr>
        <w:trPr>
          <w:trHeight w:val="315" w:hRule="atLeast"/>
        </w:trPr>
        <w:tc>
          <w:tcPr>
            <w:tcW w:w="1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  <w:hyperlink r:id="rId7">
              <w:r>
                <w:rPr>
                  <w:color w:val="000000"/>
                  <w:sz w:val="18"/>
                  <w:szCs w:val="18"/>
                </w:rPr>
                <w:t>B04.031.002</w:t>
              </w:r>
            </w:hyperlink>
          </w:p>
        </w:tc>
        <w:tc>
          <w:tcPr>
            <w:tcW w:w="2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Профилактический прием (осмотр, консультация) врача-педиатра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Т4</w:t>
            </w:r>
          </w:p>
        </w:tc>
        <w:tc>
          <w:tcPr>
            <w:tcW w:w="86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Справка санаторно-курортная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 себе иметь: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общий анализ крови, общий анализ мочи, соскоб на энтеробиоз, яйца/глист/простейшие.</w:t>
            </w:r>
          </w:p>
        </w:tc>
        <w:tc>
          <w:tcPr>
            <w:tcW w:w="15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1 800</w:t>
            </w:r>
          </w:p>
        </w:tc>
      </w:tr>
      <w:tr>
        <w:trPr>
          <w:trHeight w:val="315" w:hRule="atLeast"/>
        </w:trPr>
        <w:tc>
          <w:tcPr>
            <w:tcW w:w="1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  <w:hyperlink r:id="rId8">
              <w:r>
                <w:rPr>
                  <w:color w:val="000000"/>
                  <w:sz w:val="18"/>
                  <w:szCs w:val="18"/>
                </w:rPr>
                <w:t>B04.031.002</w:t>
              </w:r>
            </w:hyperlink>
          </w:p>
        </w:tc>
        <w:tc>
          <w:tcPr>
            <w:tcW w:w="2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Профилактический прием (осмотр, консультация) врача-педиатра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Т5</w:t>
            </w:r>
          </w:p>
        </w:tc>
        <w:tc>
          <w:tcPr>
            <w:tcW w:w="86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Справка для посещения  плавательного бассейна </w:t>
            </w:r>
          </w:p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 себе иметь:</w:t>
            </w:r>
          </w:p>
          <w:p>
            <w:pPr>
              <w:pStyle w:val="Normal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-соскоб на энтеробиоз</w:t>
            </w:r>
          </w:p>
        </w:tc>
        <w:tc>
          <w:tcPr>
            <w:tcW w:w="15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1 350</w:t>
            </w:r>
          </w:p>
        </w:tc>
      </w:tr>
      <w:tr>
        <w:trPr>
          <w:trHeight w:val="315" w:hRule="atLeast"/>
        </w:trPr>
        <w:tc>
          <w:tcPr>
            <w:tcW w:w="1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  <w:hyperlink r:id="rId9">
              <w:r>
                <w:rPr>
                  <w:color w:val="000000"/>
                  <w:sz w:val="18"/>
                  <w:szCs w:val="18"/>
                </w:rPr>
                <w:t>B04.031.002</w:t>
              </w:r>
            </w:hyperlink>
          </w:p>
        </w:tc>
        <w:tc>
          <w:tcPr>
            <w:tcW w:w="2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Профилактический прием (осмотр, консультация) врача-педиатра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Т6</w:t>
            </w:r>
          </w:p>
        </w:tc>
        <w:tc>
          <w:tcPr>
            <w:tcW w:w="86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Медицинская справка на ребенка отъезжающего в санаторный оздоровительный лагерь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 себе иметь: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соскоб на энтеробиоз, яйца/глист/простейшие.</w:t>
            </w:r>
          </w:p>
        </w:tc>
        <w:tc>
          <w:tcPr>
            <w:tcW w:w="1529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1 600</w:t>
            </w:r>
          </w:p>
        </w:tc>
      </w:tr>
      <w:tr>
        <w:trPr>
          <w:trHeight w:val="315" w:hRule="atLeast"/>
        </w:trPr>
        <w:tc>
          <w:tcPr>
            <w:tcW w:w="1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  <w:hyperlink r:id="rId10">
              <w:r>
                <w:rPr>
                  <w:color w:val="000000"/>
                  <w:sz w:val="18"/>
                  <w:szCs w:val="18"/>
                </w:rPr>
                <w:t>B04.031.002</w:t>
              </w:r>
            </w:hyperlink>
          </w:p>
        </w:tc>
        <w:tc>
          <w:tcPr>
            <w:tcW w:w="2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Профилактический прием (осмотр, консультация) врача-педиатра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Т7</w:t>
            </w:r>
          </w:p>
        </w:tc>
        <w:tc>
          <w:tcPr>
            <w:tcW w:w="86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Справка для занятий спортом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 себе иметь: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заключение ЭКГ, заключение ЭХО-КГ.</w:t>
            </w:r>
          </w:p>
        </w:tc>
        <w:tc>
          <w:tcPr>
            <w:tcW w:w="15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1 350</w:t>
            </w:r>
          </w:p>
        </w:tc>
      </w:tr>
    </w:tbl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tbl>
      <w:tblPr>
        <w:tblW w:w="1502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09"/>
        <w:gridCol w:w="11941"/>
        <w:gridCol w:w="1276"/>
      </w:tblGrid>
      <w:tr>
        <w:trPr/>
        <w:tc>
          <w:tcPr>
            <w:tcW w:w="150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color w:val="64B8B5"/>
                <w:sz w:val="28"/>
              </w:rPr>
              <w:t>ПОДАРОЧНЫЕ СЕРТИФИКАТЫ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ПС1</w:t>
            </w:r>
          </w:p>
        </w:tc>
        <w:tc>
          <w:tcPr>
            <w:tcW w:w="1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 xml:space="preserve">Подарочный сертификат (на сумму 2000 руб.) </w:t>
            </w:r>
          </w:p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  <w:t>2 000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ПС2</w:t>
            </w:r>
          </w:p>
        </w:tc>
        <w:tc>
          <w:tcPr>
            <w:tcW w:w="1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Подарочный сертификат (на сумму 3000 руб.)</w:t>
            </w:r>
          </w:p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  <w:t>3 000</w:t>
            </w:r>
          </w:p>
        </w:tc>
      </w:tr>
      <w:tr>
        <w:trPr/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ПС3</w:t>
            </w:r>
          </w:p>
        </w:tc>
        <w:tc>
          <w:tcPr>
            <w:tcW w:w="1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Подарочный сертификат (на сумму 5000 руб.)</w:t>
            </w:r>
          </w:p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  <w:t>5 000</w:t>
            </w:r>
          </w:p>
        </w:tc>
      </w:tr>
    </w:tbl>
    <w:sectPr>
      <w:type w:val="nextPage"/>
      <w:pgSz w:orient="landscape" w:w="16838" w:h="11906"/>
      <w:pgMar w:left="567" w:right="567" w:gutter="0" w:header="0" w:top="567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Comic Sans MS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Mangal"/>
        <w:lang w:val="ru-RU" w:eastAsia="zh-CN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NSimSun" w:cs="Mangal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link w:val="Heading1Char"/>
    <w:qFormat/>
    <w:pPr>
      <w:keepNext w:val="true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pPr>
      <w:keepNext w:val="true"/>
      <w:jc w:val="center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3"/>
    <w:uiPriority w:val="9"/>
    <w:qFormat/>
    <w:pPr>
      <w:keepNext w:val="true"/>
      <w:ind w:left="360"/>
      <w:jc w:val="center"/>
      <w:outlineLvl w:val="2"/>
    </w:pPr>
    <w:rPr>
      <w:b/>
      <w:bCs/>
      <w:sz w:val="28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 w:val="true"/>
      <w:keepLines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 w:val="true"/>
      <w:keepLines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 w:val="true"/>
      <w:keepLines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 w:val="true"/>
      <w:keepLines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 w:val="true"/>
      <w:keepLines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 w:val="true"/>
      <w:keepLines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Heading1Char">
    <w:name w:val="Heading 1 Char"/>
    <w:uiPriority w:val="9"/>
    <w:qFormat/>
    <w:rPr>
      <w:rFonts w:ascii="Liberation Sans" w:hAnsi="Liberation Sans" w:eastAsia="Liberation Sans" w:cs="Liberation Sans"/>
      <w:sz w:val="40"/>
      <w:szCs w:val="40"/>
    </w:rPr>
  </w:style>
  <w:style w:type="character" w:styleId="Heading2Char">
    <w:name w:val="Heading 2 Char"/>
    <w:uiPriority w:val="9"/>
    <w:qFormat/>
    <w:rPr>
      <w:rFonts w:ascii="Liberation Sans" w:hAnsi="Liberation Sans" w:eastAsia="Liberation Sans" w:cs="Liberation Sans"/>
      <w:sz w:val="34"/>
    </w:rPr>
  </w:style>
  <w:style w:type="character" w:styleId="Heading3Char">
    <w:name w:val="Heading 3 Char"/>
    <w:uiPriority w:val="9"/>
    <w:qFormat/>
    <w:rPr>
      <w:rFonts w:ascii="Liberation Sans" w:hAnsi="Liberation Sans" w:eastAsia="Liberation Sans" w:cs="Liberation Sans"/>
      <w:sz w:val="30"/>
      <w:szCs w:val="30"/>
    </w:rPr>
  </w:style>
  <w:style w:type="character" w:styleId="Heading4Char">
    <w:name w:val="Heading 4 Char"/>
    <w:uiPriority w:val="9"/>
    <w:qFormat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Heading5Char">
    <w:name w:val="Heading 5 Char"/>
    <w:uiPriority w:val="9"/>
    <w:qFormat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Heading6Char">
    <w:name w:val="Heading 6 Char"/>
    <w:uiPriority w:val="9"/>
    <w:qFormat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Heading7Char">
    <w:name w:val="Heading 7 Char"/>
    <w:uiPriority w:val="9"/>
    <w:qFormat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Heading8Char">
    <w:name w:val="Heading 8 Char"/>
    <w:uiPriority w:val="9"/>
    <w:qFormat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Heading9Char">
    <w:name w:val="Heading 9 Char"/>
    <w:uiPriority w:val="9"/>
    <w:qFormat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TitleChar">
    <w:name w:val="Title Char"/>
    <w:uiPriority w:val="10"/>
    <w:qFormat/>
    <w:rPr>
      <w:sz w:val="48"/>
      <w:szCs w:val="48"/>
    </w:rPr>
  </w:style>
  <w:style w:type="character" w:styleId="SubtitleChar">
    <w:name w:val="Subtitle Char"/>
    <w:uiPriority w:val="11"/>
    <w:qFormat/>
    <w:rPr>
      <w:sz w:val="24"/>
      <w:szCs w:val="24"/>
    </w:rPr>
  </w:style>
  <w:style w:type="character" w:styleId="QuoteChar">
    <w:name w:val="Quote Char"/>
    <w:link w:val="Quote"/>
    <w:uiPriority w:val="29"/>
    <w:qFormat/>
    <w:rPr>
      <w:i/>
    </w:rPr>
  </w:style>
  <w:style w:type="character" w:styleId="IntenseQuoteChar">
    <w:name w:val="Intense Quote Char"/>
    <w:link w:val="IntenseQuote"/>
    <w:uiPriority w:val="30"/>
    <w:qFormat/>
    <w:rPr>
      <w:i/>
    </w:rPr>
  </w:style>
  <w:style w:type="character" w:styleId="HeaderChar">
    <w:name w:val="Header Char"/>
    <w:uiPriority w:val="99"/>
    <w:qFormat/>
    <w:rPr/>
  </w:style>
  <w:style w:type="character" w:styleId="FooterChar">
    <w:name w:val="Footer Char"/>
    <w:uiPriority w:val="99"/>
    <w:qFormat/>
    <w:rPr/>
  </w:style>
  <w:style w:type="character" w:styleId="CaptionChar">
    <w:name w:val="Caption Char"/>
    <w:uiPriority w:val="35"/>
    <w:qFormat/>
    <w:rPr>
      <w:b/>
      <w:bCs/>
      <w:color w:themeColor="accent1" w:val="4F81BD"/>
      <w:sz w:val="18"/>
      <w:szCs w:val="18"/>
    </w:rPr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Style7">
    <w:name w:val="Основной шрифт абзаца"/>
    <w:semiHidden/>
    <w:qFormat/>
    <w:rPr/>
  </w:style>
  <w:style w:type="character" w:styleId="Style8">
    <w:name w:val="Текст выноски Знак"/>
    <w:link w:val="Style16"/>
    <w:qFormat/>
    <w:rPr>
      <w:rFonts w:ascii="Tahoma" w:hAnsi="Tahoma" w:cs="Tahoma"/>
      <w:sz w:val="16"/>
      <w:szCs w:val="16"/>
    </w:rPr>
  </w:style>
  <w:style w:type="character" w:styleId="Style9">
    <w:name w:val="Гиперссылка"/>
    <w:uiPriority w:val="99"/>
    <w:unhideWhenUsed/>
    <w:qFormat/>
    <w:rPr>
      <w:color w:val="0000FF"/>
      <w:u w:val="single"/>
    </w:rPr>
  </w:style>
  <w:style w:type="character" w:styleId="Style10">
    <w:name w:val="Просмотренная гиперссылка"/>
    <w:uiPriority w:val="99"/>
    <w:unhideWhenUsed/>
    <w:qFormat/>
    <w:rPr>
      <w:color w:val="800080"/>
      <w:u w:val="single"/>
    </w:rPr>
  </w:style>
  <w:style w:type="character" w:styleId="Style11">
    <w:name w:val="Верхний колонтитул Знак"/>
    <w:link w:val="Header"/>
    <w:qFormat/>
    <w:rPr>
      <w:sz w:val="24"/>
      <w:szCs w:val="24"/>
    </w:rPr>
  </w:style>
  <w:style w:type="character" w:styleId="Style12">
    <w:name w:val="Нижний колонтитул Знак"/>
    <w:link w:val="Footer"/>
    <w:qFormat/>
    <w:rPr>
      <w:sz w:val="24"/>
      <w:szCs w:val="24"/>
    </w:rPr>
  </w:style>
  <w:style w:type="character" w:styleId="3">
    <w:name w:val="Заголовок 3 Знак"/>
    <w:link w:val="Heading3"/>
    <w:uiPriority w:val="9"/>
    <w:qFormat/>
    <w:rPr>
      <w:b/>
      <w:bCs/>
      <w:sz w:val="28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next w:val="Normal"/>
    <w:link w:val="CaptionChar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14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="0" w:after="0"/>
      <w:jc w:val="left"/>
    </w:pPr>
    <w:rPr>
      <w:rFonts w:ascii="Times New Roman" w:hAnsi="Times New Roman" w:eastAsia="NSimSun" w:cs="Mangal"/>
      <w:color w:val="auto"/>
      <w:kern w:val="0"/>
      <w:sz w:val="20"/>
      <w:szCs w:val="20"/>
      <w:lang w:val="ru-RU" w:eastAsia="zh-CN" w:bidi="ar-SA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0"/>
      <w:ind w:left="720" w:right="720"/>
    </w:pPr>
    <w:rPr>
      <w:i/>
    </w:rPr>
  </w:style>
  <w:style w:type="paragraph" w:styleId="Style15">
    <w:name w:val="Колонтитул"/>
    <w:basedOn w:val="Normal"/>
    <w:qFormat/>
    <w:pPr/>
    <w:rPr/>
  </w:style>
  <w:style w:type="paragraph" w:styleId="Header">
    <w:name w:val="Header"/>
    <w:basedOn w:val="Normal"/>
    <w:link w:val="Style11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>
      <w:lang w:val="en-US" w:eastAsia="en-US"/>
    </w:rPr>
  </w:style>
  <w:style w:type="paragraph" w:styleId="Footer">
    <w:name w:val="Footer"/>
    <w:basedOn w:val="Normal"/>
    <w:link w:val="Style12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next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13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before="0" w:after="0"/>
      <w:jc w:val="left"/>
    </w:pPr>
    <w:rPr>
      <w:rFonts w:ascii="Times New Roman" w:hAnsi="Times New Roman" w:eastAsia="NSimSun" w:cs="Mangal"/>
      <w:color w:val="auto"/>
      <w:kern w:val="0"/>
      <w:sz w:val="20"/>
      <w:szCs w:val="20"/>
      <w:lang w:val="ru-RU" w:eastAsia="zh-CN" w:bidi="ar-SA"/>
    </w:rPr>
  </w:style>
  <w:style w:type="paragraph" w:styleId="TableofFigures">
    <w:name w:val="Table of Figures"/>
    <w:basedOn w:val="Normal"/>
    <w:next w:val="Normal"/>
    <w:uiPriority w:val="99"/>
    <w:unhideWhenUsed/>
    <w:pPr>
      <w:spacing w:before="0" w:afterAutospacing="0" w:after="0"/>
    </w:pPr>
    <w:rPr/>
  </w:style>
  <w:style w:type="paragraph" w:styleId="Style16">
    <w:name w:val="Текст выноски"/>
    <w:basedOn w:val="Normal"/>
    <w:link w:val="Style8"/>
    <w:qFormat/>
    <w:pPr/>
    <w:rPr>
      <w:rFonts w:ascii="Tahoma" w:hAnsi="Tahoma"/>
      <w:sz w:val="16"/>
      <w:szCs w:val="16"/>
      <w:lang w:val="en-US" w:eastAsia="en-US"/>
    </w:rPr>
  </w:style>
  <w:style w:type="paragraph" w:styleId="Style17">
    <w:name w:val="Абзац списка"/>
    <w:basedOn w:val="Normal"/>
    <w:uiPriority w:val="34"/>
    <w:qFormat/>
    <w:pPr>
      <w:ind w:left="708"/>
    </w:pPr>
    <w:rPr/>
  </w:style>
  <w:style w:type="paragraph" w:styleId="Style18">
    <w:name w:val="Без интервала"/>
    <w:uiPriority w:val="1"/>
    <w:qFormat/>
    <w:pPr>
      <w:widowControl/>
      <w:bidi w:val="0"/>
      <w:spacing w:before="0" w:after="0"/>
      <w:jc w:val="left"/>
    </w:pPr>
    <w:rPr>
      <w:rFonts w:ascii="Calibri" w:hAnsi="Calibri" w:eastAsia="NSimSun" w:cs="Mangal"/>
      <w:color w:val="auto"/>
      <w:kern w:val="0"/>
      <w:sz w:val="22"/>
      <w:szCs w:val="22"/>
      <w:lang w:val="ru-RU" w:eastAsia="ru-RU" w:bidi="ar-SA"/>
    </w:rPr>
  </w:style>
  <w:style w:type="paragraph" w:styleId="Font5">
    <w:name w:val="font5"/>
    <w:basedOn w:val="Normal"/>
    <w:qFormat/>
    <w:pPr>
      <w:spacing w:beforeAutospacing="1" w:afterAutospacing="1"/>
    </w:pPr>
    <w:rPr>
      <w:rFonts w:ascii="Arial" w:hAnsi="Arial" w:cs="Arial"/>
      <w:sz w:val="20"/>
      <w:szCs w:val="20"/>
    </w:rPr>
  </w:style>
  <w:style w:type="paragraph" w:styleId="Font6">
    <w:name w:val="font6"/>
    <w:basedOn w:val="Normal"/>
    <w:qFormat/>
    <w:pPr>
      <w:spacing w:beforeAutospacing="1" w:afterAutospacing="1"/>
    </w:pPr>
    <w:rPr>
      <w:rFonts w:ascii="Arial" w:hAnsi="Arial" w:cs="Arial"/>
      <w:sz w:val="18"/>
      <w:szCs w:val="18"/>
    </w:rPr>
  </w:style>
  <w:style w:type="paragraph" w:styleId="Font7">
    <w:name w:val="font7"/>
    <w:basedOn w:val="Normal"/>
    <w:qFormat/>
    <w:pPr>
      <w:spacing w:beforeAutospacing="1" w:afterAutospacing="1"/>
    </w:pPr>
    <w:rPr>
      <w:rFonts w:ascii="Arial" w:hAnsi="Arial" w:cs="Arial"/>
      <w:b/>
      <w:bCs/>
      <w:sz w:val="20"/>
      <w:szCs w:val="20"/>
    </w:rPr>
  </w:style>
  <w:style w:type="paragraph" w:styleId="Xl63">
    <w:name w:val="xl63"/>
    <w:basedOn w:val="Normal"/>
    <w:qFormat/>
    <w:pPr>
      <w:spacing w:beforeAutospacing="1" w:afterAutospacing="1"/>
    </w:pPr>
    <w:rPr>
      <w:sz w:val="18"/>
      <w:szCs w:val="18"/>
    </w:rPr>
  </w:style>
  <w:style w:type="paragraph" w:styleId="Xl64">
    <w:name w:val="xl64"/>
    <w:basedOn w:val="Normal"/>
    <w:qFormat/>
    <w:pPr>
      <w:spacing w:beforeAutospacing="1" w:afterAutospacing="1"/>
      <w:jc w:val="center"/>
    </w:pPr>
    <w:rPr>
      <w:sz w:val="18"/>
      <w:szCs w:val="18"/>
    </w:rPr>
  </w:style>
  <w:style w:type="paragraph" w:styleId="Xl65">
    <w:name w:val="xl65"/>
    <w:basedOn w:val="Normal"/>
    <w:qFormat/>
    <w:pPr>
      <w:spacing w:beforeAutospacing="1" w:afterAutospacing="1"/>
    </w:pPr>
    <w:rPr>
      <w:color w:val="FF0000"/>
    </w:rPr>
  </w:style>
  <w:style w:type="paragraph" w:styleId="Xl66">
    <w:name w:val="xl6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18"/>
      <w:szCs w:val="18"/>
    </w:rPr>
  </w:style>
  <w:style w:type="paragraph" w:styleId="Xl67">
    <w:name w:val="xl6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</w:rPr>
  </w:style>
  <w:style w:type="paragraph" w:styleId="Xl68">
    <w:name w:val="xl6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Arial" w:hAnsi="Arial" w:cs="Arial"/>
      <w:sz w:val="18"/>
      <w:szCs w:val="18"/>
    </w:rPr>
  </w:style>
  <w:style w:type="paragraph" w:styleId="Xl69">
    <w:name w:val="xl69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Arial" w:hAnsi="Arial" w:cs="Arial"/>
      <w:sz w:val="18"/>
      <w:szCs w:val="18"/>
    </w:rPr>
  </w:style>
  <w:style w:type="paragraph" w:styleId="Xl70">
    <w:name w:val="xl7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18"/>
      <w:szCs w:val="18"/>
    </w:rPr>
  </w:style>
  <w:style w:type="paragraph" w:styleId="Xl71">
    <w:name w:val="xl7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18"/>
      <w:szCs w:val="18"/>
    </w:rPr>
  </w:style>
  <w:style w:type="paragraph" w:styleId="Xl72">
    <w:name w:val="xl72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18"/>
      <w:szCs w:val="18"/>
    </w:rPr>
  </w:style>
  <w:style w:type="paragraph" w:styleId="Xl73">
    <w:name w:val="xl7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</w:rPr>
  </w:style>
  <w:style w:type="paragraph" w:styleId="Xl74">
    <w:name w:val="xl7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18"/>
      <w:szCs w:val="18"/>
    </w:rPr>
  </w:style>
  <w:style w:type="paragraph" w:styleId="Xl75">
    <w:name w:val="xl7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18"/>
      <w:szCs w:val="18"/>
    </w:rPr>
  </w:style>
  <w:style w:type="paragraph" w:styleId="Xl76">
    <w:name w:val="xl7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18"/>
      <w:szCs w:val="18"/>
    </w:rPr>
  </w:style>
  <w:style w:type="paragraph" w:styleId="Xl77">
    <w:name w:val="xl7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18"/>
      <w:szCs w:val="18"/>
    </w:rPr>
  </w:style>
  <w:style w:type="paragraph" w:styleId="Xl78">
    <w:name w:val="xl7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</w:rPr>
  </w:style>
  <w:style w:type="paragraph" w:styleId="Xl79">
    <w:name w:val="xl79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/>
  </w:style>
  <w:style w:type="paragraph" w:styleId="Xl80">
    <w:name w:val="xl8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18"/>
      <w:szCs w:val="18"/>
    </w:rPr>
  </w:style>
  <w:style w:type="paragraph" w:styleId="Xl81">
    <w:name w:val="xl8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/>
  </w:style>
  <w:style w:type="paragraph" w:styleId="Xl82">
    <w:name w:val="xl82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Arial" w:hAnsi="Arial" w:cs="Arial"/>
    </w:rPr>
  </w:style>
  <w:style w:type="paragraph" w:styleId="Xl83">
    <w:name w:val="xl8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/>
  </w:style>
  <w:style w:type="paragraph" w:styleId="Xl84">
    <w:name w:val="xl84"/>
    <w:basedOn w:val="Normal"/>
    <w:qFormat/>
    <w:pPr>
      <w:spacing w:beforeAutospacing="1" w:afterAutospacing="1"/>
      <w:jc w:val="center"/>
    </w:pPr>
    <w:rPr>
      <w:sz w:val="18"/>
      <w:szCs w:val="18"/>
    </w:rPr>
  </w:style>
  <w:style w:type="paragraph" w:styleId="Xl85">
    <w:name w:val="xl8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</w:pPr>
    <w:rPr>
      <w:sz w:val="18"/>
      <w:szCs w:val="18"/>
    </w:rPr>
  </w:style>
  <w:style w:type="paragraph" w:styleId="Xl86">
    <w:name w:val="xl8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</w:pPr>
    <w:rPr>
      <w:b/>
      <w:bCs/>
    </w:rPr>
  </w:style>
  <w:style w:type="paragraph" w:styleId="Xl87">
    <w:name w:val="xl8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</w:pPr>
    <w:rPr>
      <w:rFonts w:ascii="Arial" w:hAnsi="Arial" w:cs="Arial"/>
      <w:sz w:val="18"/>
      <w:szCs w:val="18"/>
    </w:rPr>
  </w:style>
  <w:style w:type="paragraph" w:styleId="Xl88">
    <w:name w:val="xl88"/>
    <w:basedOn w:val="Normal"/>
    <w:qFormat/>
    <w:pPr>
      <w:shd w:val="clear" w:color="000000" w:fill="FFFFFF"/>
      <w:spacing w:beforeAutospacing="1" w:afterAutospacing="1"/>
    </w:pPr>
    <w:rPr/>
  </w:style>
  <w:style w:type="paragraph" w:styleId="Xl89">
    <w:name w:val="xl89"/>
    <w:basedOn w:val="Normal"/>
    <w:qFormat/>
    <w:pPr>
      <w:spacing w:beforeAutospacing="1" w:afterAutospacing="1"/>
      <w:jc w:val="center"/>
    </w:pPr>
    <w:rPr/>
  </w:style>
  <w:style w:type="paragraph" w:styleId="Xl90">
    <w:name w:val="xl9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18"/>
      <w:szCs w:val="18"/>
    </w:rPr>
  </w:style>
  <w:style w:type="paragraph" w:styleId="Xl91">
    <w:name w:val="xl9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/>
  </w:style>
  <w:style w:type="paragraph" w:styleId="Xl92">
    <w:name w:val="xl92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</w:pPr>
    <w:rPr/>
  </w:style>
  <w:style w:type="paragraph" w:styleId="Xl93">
    <w:name w:val="xl9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CCCCFF" w:fill="C0C0C0"/>
      <w:spacing w:beforeAutospacing="1" w:afterAutospacing="1"/>
      <w:jc w:val="center"/>
    </w:pPr>
    <w:rPr>
      <w:b/>
      <w:bCs/>
    </w:rPr>
  </w:style>
  <w:style w:type="paragraph" w:styleId="Xl94">
    <w:name w:val="xl94"/>
    <w:basedOn w:val="Normal"/>
    <w:qFormat/>
    <w:pPr>
      <w:pBdr>
        <w:top w:val="single" w:sz="4" w:space="0" w:color="000000"/>
        <w:bottom w:val="single" w:sz="4" w:space="0" w:color="000000"/>
      </w:pBdr>
      <w:shd w:val="clear" w:color="CCCCFF" w:fill="C0C0C0"/>
      <w:spacing w:beforeAutospacing="1" w:afterAutospacing="1"/>
      <w:jc w:val="center"/>
    </w:pPr>
    <w:rPr>
      <w:b/>
      <w:bCs/>
    </w:rPr>
  </w:style>
  <w:style w:type="paragraph" w:styleId="Xl95">
    <w:name w:val="xl95"/>
    <w:basedOn w:val="Normal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/>
      <w:jc w:val="center"/>
    </w:pPr>
    <w:rPr>
      <w:b/>
      <w:bCs/>
    </w:rPr>
  </w:style>
  <w:style w:type="paragraph" w:styleId="Xl96">
    <w:name w:val="xl9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/>
      <w:jc w:val="center"/>
    </w:pPr>
    <w:rPr>
      <w:b/>
      <w:bCs/>
    </w:rPr>
  </w:style>
  <w:style w:type="paragraph" w:styleId="Xl97">
    <w:name w:val="xl9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/>
      <w:jc w:val="center"/>
    </w:pPr>
    <w:rPr>
      <w:b/>
      <w:bCs/>
      <w:sz w:val="18"/>
      <w:szCs w:val="18"/>
    </w:rPr>
  </w:style>
  <w:style w:type="paragraph" w:styleId="Xl98">
    <w:name w:val="xl9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08080" w:fill="969696"/>
      <w:spacing w:beforeAutospacing="1" w:afterAutospacing="1"/>
      <w:jc w:val="center"/>
    </w:pPr>
    <w:rPr>
      <w:b/>
      <w:bCs/>
      <w:sz w:val="18"/>
      <w:szCs w:val="18"/>
    </w:rPr>
  </w:style>
  <w:style w:type="paragraph" w:styleId="Xl99">
    <w:name w:val="xl99"/>
    <w:basedOn w:val="Normal"/>
    <w:qFormat/>
    <w:pPr>
      <w:spacing w:beforeAutospacing="1" w:afterAutospacing="1"/>
      <w:jc w:val="center"/>
    </w:pPr>
    <w:rPr>
      <w:rFonts w:ascii="Comic Sans MS" w:hAnsi="Comic Sans MS"/>
      <w:b/>
      <w:bCs/>
      <w:sz w:val="52"/>
      <w:szCs w:val="52"/>
    </w:rPr>
  </w:style>
  <w:style w:type="paragraph" w:styleId="Xl100">
    <w:name w:val="xl100"/>
    <w:basedOn w:val="Normal"/>
    <w:qFormat/>
    <w:pPr>
      <w:spacing w:beforeAutospacing="1" w:afterAutospacing="1"/>
      <w:jc w:val="center"/>
    </w:pPr>
    <w:rPr>
      <w:rFonts w:ascii="Comic Sans MS" w:hAnsi="Comic Sans MS"/>
      <w:b/>
      <w:bCs/>
      <w:sz w:val="52"/>
      <w:szCs w:val="52"/>
    </w:rPr>
  </w:style>
  <w:style w:type="paragraph" w:styleId="Xl101">
    <w:name w:val="xl10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08080" w:fill="969696"/>
      <w:spacing w:beforeAutospacing="1" w:afterAutospacing="1"/>
      <w:jc w:val="center"/>
    </w:pPr>
    <w:rPr>
      <w:b/>
      <w:bCs/>
    </w:rPr>
  </w:style>
  <w:style w:type="paragraph" w:styleId="Xl102">
    <w:name w:val="xl102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08080" w:fill="969696"/>
      <w:spacing w:beforeAutospacing="1" w:afterAutospacing="1"/>
      <w:jc w:val="center"/>
    </w:pPr>
    <w:rPr>
      <w:b/>
      <w:bCs/>
      <w:sz w:val="22"/>
      <w:szCs w:val="22"/>
    </w:rPr>
  </w:style>
  <w:style w:type="paragraph" w:styleId="Xl103">
    <w:name w:val="xl103"/>
    <w:basedOn w:val="Normal"/>
    <w:qFormat/>
    <w:pPr>
      <w:spacing w:beforeAutospacing="1" w:afterAutospacing="1"/>
      <w:jc w:val="center"/>
    </w:pPr>
    <w:rPr>
      <w:sz w:val="16"/>
      <w:szCs w:val="16"/>
    </w:rPr>
  </w:style>
  <w:style w:type="paragraph" w:styleId="Xl104">
    <w:name w:val="xl10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08080" w:fill="969696"/>
      <w:spacing w:beforeAutospacing="1" w:afterAutospacing="1"/>
      <w:jc w:val="center"/>
    </w:pPr>
    <w:rPr>
      <w:sz w:val="18"/>
      <w:szCs w:val="18"/>
    </w:rPr>
  </w:style>
  <w:style w:type="paragraph" w:styleId="Xl105">
    <w:name w:val="xl10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</w:rPr>
  </w:style>
  <w:style w:type="paragraph" w:styleId="Xl106">
    <w:name w:val="xl10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08080" w:fill="969696"/>
      <w:spacing w:beforeAutospacing="1" w:afterAutospacing="1"/>
      <w:jc w:val="center"/>
    </w:pPr>
    <w:rPr>
      <w:b/>
      <w:bCs/>
      <w:sz w:val="18"/>
      <w:szCs w:val="18"/>
    </w:rPr>
  </w:style>
  <w:style w:type="paragraph" w:styleId="ConsPlusNormal">
    <w:name w:val="ConsPlusNormal"/>
    <w:qFormat/>
    <w:pPr>
      <w:widowControl w:val="false"/>
      <w:bidi w:val="0"/>
      <w:spacing w:before="0" w:after="0"/>
      <w:ind w:firstLine="720"/>
      <w:jc w:val="left"/>
    </w:pPr>
    <w:rPr>
      <w:rFonts w:ascii="Arial" w:hAnsi="Arial" w:cs="Arial" w:eastAsia="NSimSun"/>
      <w:color w:val="auto"/>
      <w:kern w:val="0"/>
      <w:sz w:val="20"/>
      <w:szCs w:val="20"/>
      <w:lang w:val="ru-RU" w:eastAsia="ru-RU" w:bidi="ar-SA"/>
    </w:rPr>
  </w:style>
  <w:style w:type="paragraph" w:styleId="Style19">
    <w:name w:val="Содержимое врезки"/>
    <w:basedOn w:val="Normal"/>
    <w:qFormat/>
    <w:pPr/>
    <w:rPr/>
  </w:style>
  <w:style w:type="numbering" w:styleId="Style20">
    <w:name w:val="Нет списка"/>
    <w:uiPriority w:val="99"/>
    <w:semiHidden/>
    <w:qFormat/>
  </w:style>
  <w:style w:type="numbering" w:styleId="NoList" w:default="1">
    <w:name w:val="No List"/>
    <w:uiPriority w:val="99"/>
    <w:semiHidden/>
    <w:unhideWhenUsed/>
    <w:qFormat/>
  </w:style>
  <w:style w:type="table" w:styleId="49">
    <w:name w:val="Table Grid"/>
    <w:basedOn w:val="33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blPr/>
      <w:tcPr>
        <w:shd w:val="clear" w:color="FFFFFF" w:fill="F2F2F2" w:themeFill="text1" w:themeFillTint="d"/>
      </w:tcPr>
    </w:tblStylePr>
    <w:tblStylePr w:type="band1Vert">
      <w:tblPr/>
      <w:tcPr>
        <w:shd w:val="clear" w:color="FFFFFF" w:fill="F2F2F2" w:themeFill="text1" w:themeFillTint="d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</w:rPr>
      <w:tblPr/>
    </w:tblStylePr>
    <w:tblStylePr w:type="lastRow">
      <w:rPr>
        <w:b/>
        <w:caps/>
      </w:rPr>
      <w:tblPr/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b/>
      </w:rPr>
      <w:tblPr/>
    </w:tblStylePr>
    <w:tblStylePr w:type="firstRow">
      <w:rPr>
        <w:b/>
      </w:rPr>
      <w:tblPr/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sz w:val="22"/>
      </w:rPr>
      <w:tblPr/>
      <w:tcPr>
        <w:shd w:val="clear" w:color="FFFFFF" w:fill="DAE5F1" w:themeFill="accent1" w:themeFillTint="34"/>
      </w:tc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sz w:val="22"/>
      </w:rPr>
      <w:tblPr/>
      <w:tcPr>
        <w:shd w:val="clear" w:color="FFFFFF" w:fill="F2DCDB" w:themeFill="accent2" w:themeFillTint="32"/>
      </w:tcPr>
    </w:tblStylePr>
    <w:tblStylePr w:type="band1Vert">
      <w:rPr>
        <w:sz w:val="22"/>
      </w:rPr>
      <w:tblPr/>
      <w:tcPr>
        <w:shd w:val="clear" w:color="FFFFFF" w:fill="F2DCDB" w:themeFill="accent2" w:themeFillTint="32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sz w:val="22"/>
      </w:rPr>
      <w:tblPr/>
      <w:tcPr>
        <w:shd w:val="clear" w:color="FFFFFF" w:fill="EAF0DD" w:themeFill="accent3" w:themeFillTint="34"/>
      </w:tcPr>
    </w:tblStylePr>
    <w:tblStylePr w:type="band1Vert">
      <w:rPr>
        <w:sz w:val="22"/>
      </w:rPr>
      <w:tblPr/>
      <w:tcPr>
        <w:shd w:val="clear" w:color="FFFFFF" w:fill="EAF0DD" w:themeFill="accent3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sz w:val="22"/>
      </w:rPr>
      <w:tblPr/>
      <w:tcPr>
        <w:shd w:val="clear" w:color="FFFFFF" w:fill="E5DFEC" w:themeFill="accent4" w:themeFillTint="34"/>
      </w:tc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  <w:tcPr>
        <w:shd w:val="clear" w:color="FFFFFF" w:fill="DAEEF3" w:themeFill="accent5" w:themeFillTint="34"/>
      </w:tc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  <w:tcPr>
        <w:shd w:val="clear" w:color="FFFFFF" w:fill="FDE9D8" w:themeFill="accent6" w:themeFillTint="34"/>
      </w:tc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sz w:val="22"/>
      </w:rPr>
      <w:tblPr/>
      <w:tcPr>
        <w:shd w:val="clear" w:color="FFFFFF" w:fill="DAE5F1" w:themeFill="accent1" w:themeFillTint="34"/>
      </w:tc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sz w:val="22"/>
      </w:rPr>
      <w:tblPr/>
      <w:tcPr>
        <w:shd w:val="clear" w:color="FFFFFF" w:fill="F2DCDB" w:themeFill="accent2" w:themeFillTint="32"/>
      </w:tcPr>
    </w:tblStylePr>
    <w:tblStylePr w:type="band1Vert">
      <w:rPr>
        <w:sz w:val="22"/>
      </w:rPr>
      <w:tblPr/>
      <w:tcPr>
        <w:shd w:val="clear" w:color="FFFFFF" w:fill="F2DCDB" w:themeFill="accent2" w:themeFillTint="32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sz w:val="22"/>
      </w:rPr>
      <w:tblPr/>
      <w:tcPr>
        <w:shd w:val="clear" w:color="FFFFFF" w:fill="EAF0DD" w:themeFill="accent3" w:themeFillTint="34"/>
      </w:tcPr>
    </w:tblStylePr>
    <w:tblStylePr w:type="band1Vert">
      <w:rPr>
        <w:sz w:val="22"/>
      </w:rPr>
      <w:tblPr/>
      <w:tcPr>
        <w:shd w:val="clear" w:color="FFFFFF" w:fill="EAF0DD" w:themeFill="accent3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sz w:val="22"/>
      </w:rPr>
      <w:tblPr/>
      <w:tcPr>
        <w:shd w:val="clear" w:color="FFFFFF" w:fill="E5DFEC" w:themeFill="accent4" w:themeFillTint="34"/>
      </w:tc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  <w:tcPr>
        <w:shd w:val="clear" w:color="FFFFFF" w:fill="DAEEF3" w:themeFill="accent5" w:themeFillTint="34"/>
      </w:tc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  <w:tcPr>
        <w:shd w:val="clear" w:color="FFFFFF" w:fill="FDE9D8" w:themeFill="accent6" w:themeFillTint="34"/>
      </w:tc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CE6F1" w:themeFill="accent1" w:themeFillTint="32"/>
      </w:tcPr>
    </w:tblStylePr>
    <w:tblStylePr w:type="band1Vert">
      <w:rPr>
        <w:sz w:val="22"/>
      </w:rPr>
      <w:tblPr/>
      <w:tcPr>
        <w:shd w:val="clear" w:color="FFFFFF" w:fill="DCE6F1" w:themeFill="accent1" w:themeFillTint="32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  <w:shd w:val="clear" w:color="FFFFFF" w:fill="5D8DC2" w:themeFill="accent1" w:themeFillTint="ea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F2DCDB" w:themeFill="accent2" w:themeFillTint="32"/>
      </w:tcPr>
    </w:tblStylePr>
    <w:tblStylePr w:type="band1Vert">
      <w:rPr>
        <w:sz w:val="22"/>
      </w:rPr>
      <w:tblPr/>
      <w:tcPr>
        <w:shd w:val="clear" w:color="FFFFFF" w:fill="F2DCDB" w:themeFill="accent2" w:themeFillTint="32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  <w:shd w:val="clear" w:color="FFFFFF" w:fill="D99694" w:themeFill="accent2" w:themeFillTint="97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AF0DD" w:themeFill="accent3" w:themeFillTint="34"/>
      </w:tcPr>
    </w:tblStylePr>
    <w:tblStylePr w:type="band1Vert">
      <w:rPr>
        <w:sz w:val="22"/>
      </w:rPr>
      <w:tblPr/>
      <w:tcPr>
        <w:shd w:val="clear" w:color="FFFFFF" w:fill="EAF0DD" w:themeFill="accent3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  <w:shd w:val="clear" w:color="FFFFFF" w:fill="9BBA59" w:themeFill="accent3" w:themeFillTint="fe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E5DFEC" w:themeFill="accent4" w:themeFillTint="34"/>
      </w:tc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  <w:shd w:val="clear" w:color="FFFFFF" w:fill="B2A1C6" w:themeFill="accent4" w:themeFillTint="9a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DAEEF3" w:themeFill="accent5" w:themeFillTint="34"/>
      </w:tc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fill="4BACC6" w:themeFill="accent5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FDE9D8" w:themeFill="accent6" w:themeFillTint="34"/>
      </w:tc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fill="F79646" w:themeFill="accent6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8A8A8A" w:themeFill="text1" w:themeFillTint="75"/>
      </w:tcPr>
    </w:tblStylePr>
    <w:tblStylePr w:type="band1Vert">
      <w:tblPr/>
      <w:tcPr>
        <w:shd w:val="clear" w:color="FFFFFF" w:fill="8A8A8A" w:themeFill="text1" w:themeFillTint="75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000000" w:themeFill="text1"/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ADC5E0" w:themeFill="accent1" w:themeFillTint="75"/>
      </w:tcPr>
    </w:tblStylePr>
    <w:tblStylePr w:type="band1Vert">
      <w:tblPr/>
      <w:tcPr>
        <w:shd w:val="clear" w:color="FFFFFF" w:fill="ADC5E0" w:themeFill="accent1" w:themeFillTint="75"/>
      </w:tcPr>
    </w:tblStylePr>
    <w:tblStylePr w:type="firstCol">
      <w:rPr>
        <w:b/>
        <w:sz w:val="22"/>
      </w:rPr>
      <w:tblPr/>
      <w:tcPr>
        <w:shd w:val="clear" w:color="FFFFFF" w:fill="4F81BD" w:themeFill="accent1"/>
      </w:tcPr>
    </w:tblStyle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Col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4F81BD" w:themeFill="accent1"/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E1ADAC" w:themeFill="accent2" w:themeFillTint="75"/>
      </w:tcPr>
    </w:tblStylePr>
    <w:tblStylePr w:type="band1Vert">
      <w:tblPr/>
      <w:tcPr>
        <w:shd w:val="clear" w:color="FFFFFF" w:fill="E1ADAC" w:themeFill="accent2" w:themeFillTint="75"/>
      </w:tcPr>
    </w:tblStylePr>
    <w:tblStylePr w:type="firstCol">
      <w:rPr>
        <w:b/>
        <w:sz w:val="22"/>
      </w:rPr>
      <w:tblPr/>
      <w:tcPr>
        <w:shd w:val="clear" w:color="FFFFFF" w:fill="C0504D" w:themeFill="accent2"/>
      </w:tcPr>
    </w:tblStyle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Col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C0504D" w:themeFill="accent2"/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D1DFB2" w:themeFill="accent3" w:themeFillTint="75"/>
      </w:tcPr>
    </w:tblStylePr>
    <w:tblStylePr w:type="band1Vert">
      <w:tblPr/>
      <w:tcPr>
        <w:shd w:val="clear" w:color="FFFFFF" w:fill="D1DFB2" w:themeFill="accent3" w:themeFillTint="75"/>
      </w:tcPr>
    </w:tblStylePr>
    <w:tblStylePr w:type="firstCol">
      <w:rPr>
        <w:b/>
        <w:sz w:val="22"/>
      </w:rPr>
      <w:tblPr/>
      <w:tcPr>
        <w:shd w:val="clear" w:color="FFFFFF" w:fill="9BBB59" w:themeFill="accent3"/>
      </w:tcPr>
    </w:tblStyle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Col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9BBB59" w:themeFill="accent3"/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C4B7D4" w:themeFill="accent4" w:themeFillTint="75"/>
      </w:tcPr>
    </w:tblStylePr>
    <w:tblStylePr w:type="band1Vert">
      <w:tblPr/>
      <w:tcPr>
        <w:shd w:val="clear" w:color="FFFFFF" w:fill="C4B7D4" w:themeFill="accent4" w:themeFillTint="75"/>
      </w:tcPr>
    </w:tblStylePr>
    <w:tblStylePr w:type="firstCol">
      <w:rPr>
        <w:b/>
        <w:sz w:val="22"/>
      </w:rPr>
      <w:tblPr/>
      <w:tcPr>
        <w:shd w:val="clear" w:color="FFFFFF" w:fill="8064A2" w:themeFill="accent4"/>
      </w:tcPr>
    </w:tblStyle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Col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8064A2" w:themeFill="accent4"/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ABD9E4" w:themeFill="accent5" w:themeFillTint="75"/>
      </w:tcPr>
    </w:tblStylePr>
    <w:tblStylePr w:type="band1Vert">
      <w:tblPr/>
      <w:tcPr>
        <w:shd w:val="clear" w:color="FFFFFF" w:fill="ABD9E4" w:themeFill="accent5" w:themeFillTint="75"/>
      </w:tcPr>
    </w:tblStylePr>
    <w:tblStylePr w:type="firstCol">
      <w:rPr>
        <w:b/>
        <w:sz w:val="22"/>
      </w:rPr>
      <w:tblPr/>
      <w:tcPr>
        <w:shd w:val="clear" w:color="FFFFFF" w:fill="4BACC6" w:themeFill="accent5"/>
      </w:tcPr>
    </w:tblStyle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Col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4BACC6" w:themeFill="accent5"/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FBCDA8" w:themeFill="accent6" w:themeFillTint="75"/>
      </w:tcPr>
    </w:tblStylePr>
    <w:tblStylePr w:type="band1Vert">
      <w:tblPr/>
      <w:tcPr>
        <w:shd w:val="clear" w:color="FFFFFF" w:fill="FBCDA8" w:themeFill="accent6" w:themeFillTint="75"/>
      </w:tcPr>
    </w:tblStylePr>
    <w:tblStylePr w:type="firstCol">
      <w:rPr>
        <w:b/>
        <w:sz w:val="22"/>
      </w:rPr>
      <w:tblPr/>
      <w:tcPr>
        <w:shd w:val="clear" w:color="FFFFFF" w:fill="F79646" w:themeFill="accent6"/>
      </w:tcPr>
    </w:tblStyle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Col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F79646" w:themeFill="accent6"/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1Vert">
      <w:tblPr/>
      <w:tcPr>
        <w:shd w:val="clear" w:color="FFFFFF" w:fill="CBCBCB" w:themeFill="text1" w:themeFillTint="34"/>
      </w:tcPr>
    </w:tblStylePr>
    <w:tblStylePr w:type="band2Horz">
      <w:rPr>
        <w:color w:themeColor="text1" w:themeTint="80" w:themeShade="95"/>
        <w:sz w:val="22"/>
      </w:rPr>
      <w:tblPr/>
    </w:tblStylePr>
    <w:tblStylePr w:type="firstCol">
      <w:rPr>
        <w:b/>
        <w:color w:themeColor="text1" w:themeTint="80" w:themeShade="95"/>
      </w:rPr>
      <w:tblPr/>
    </w:tblStylePr>
    <w:tblStylePr w:type="firstRow">
      <w:rPr>
        <w:b/>
        <w:color w:themeColor="text1" w:themeTint="80" w:themeShade="95"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b/>
        <w:color w:themeColor="text1" w:themeTint="80" w:themeShade="95"/>
      </w:rPr>
      <w:tblPr/>
    </w:tblStylePr>
    <w:tblStylePr w:type="lastRow">
      <w:rPr>
        <w:b/>
        <w:color w:themeColor="text1" w:themeTint="80" w:themeShade="95"/>
      </w:rPr>
      <w:tblPr/>
    </w:tblStylePr>
    <w:tblStylePr w:type="wholeTable">
      <w:rPr>
        <w:color w:themeColor="text1" w:themeTint="80" w:themeShade="95"/>
        <w:sz w:val="22"/>
      </w:rPr>
      <w:tblPr/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  <w:tblStylePr w:type="firstCol">
      <w:rPr>
        <w:b/>
        <w:color w:themeColor="accent1" w:themeTint="80" w:themeShade="95"/>
      </w:rPr>
      <w:tblPr/>
    </w:tblStylePr>
    <w:tblStylePr w:type="firstRow">
      <w:rPr>
        <w:b/>
        <w:color w:themeColor="accent1" w:themeTint="80" w:themeShade="95"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themeColor="accent1" w:themeTint="80" w:themeShade="95"/>
      </w:rPr>
      <w:tblPr/>
    </w:tblStylePr>
    <w:tblStylePr w:type="lastRow">
      <w:rPr>
        <w:b/>
        <w:color w:themeColor="accent1" w:themeTint="80" w:themeShade="95"/>
      </w:rPr>
      <w:tblPr/>
    </w:tblStylePr>
    <w:tblStylePr w:type="wholeTable">
      <w:rPr>
        <w:color w:themeColor="accent1" w:themeTint="80" w:themeShade="95"/>
        <w:sz w:val="22"/>
      </w:rPr>
      <w:tblPr/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F2DCDB" w:themeFill="accent2" w:themeFillTint="32"/>
      </w:tcPr>
    </w:tblStylePr>
    <w:tblStylePr w:type="band1Vert">
      <w:tblPr/>
      <w:tcPr>
        <w:shd w:val="clear" w:color="FFFFFF" w:fill="F2DCDB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rPr>
        <w:b/>
        <w:color w:themeColor="accent2" w:themeTint="97" w:themeShade="95"/>
      </w:rPr>
      <w:tblPr/>
    </w:tblStylePr>
    <w:tblStylePr w:type="firstRow">
      <w:rPr>
        <w:b/>
        <w:color w:themeColor="accent2" w:themeTint="97" w:themeShade="95"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themeColor="accent2" w:themeTint="97" w:themeShade="95"/>
      </w:rPr>
      <w:tblPr/>
    </w:tblStylePr>
    <w:tblStylePr w:type="lastRow">
      <w:rPr>
        <w:b/>
        <w:color w:themeColor="accent2" w:themeTint="97" w:themeShade="95"/>
      </w:rPr>
      <w:tblPr/>
    </w:tblStylePr>
    <w:tblStylePr w:type="wholeTable">
      <w:rPr>
        <w:color w:themeColor="accent2" w:themeTint="97" w:themeShade="95"/>
        <w:sz w:val="22"/>
      </w:rPr>
      <w:tblPr/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themeColor="accent3" w:themeTint="fe" w:themeShade="95"/>
        <w:sz w:val="22"/>
      </w:rPr>
      <w:tblPr/>
      <w:tcPr>
        <w:shd w:val="clear" w:color="FFFFFF" w:fill="EAF0DD" w:themeFill="accent3" w:themeFillTint="34"/>
      </w:tcPr>
    </w:tblStylePr>
    <w:tblStylePr w:type="band1Vert">
      <w:tblPr/>
      <w:tcPr>
        <w:shd w:val="clear" w:color="FFFFFF" w:fill="EAF0DD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  <w:tblStylePr w:type="firstCol">
      <w:rPr>
        <w:b/>
        <w:color w:themeColor="accent3" w:themeTint="fe" w:themeShade="95"/>
      </w:rPr>
      <w:tblPr/>
    </w:tblStylePr>
    <w:tblStylePr w:type="firstRow">
      <w:rPr>
        <w:b/>
        <w:color w:themeColor="accent3" w:themeTint="fe" w:themeShade="95"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themeColor="accent3" w:themeTint="fe" w:themeShade="95"/>
      </w:rPr>
      <w:tblPr/>
    </w:tblStylePr>
    <w:tblStylePr w:type="lastRow">
      <w:rPr>
        <w:b/>
        <w:color w:themeColor="accent3" w:themeTint="fe" w:themeShade="95"/>
      </w:rPr>
      <w:tblPr/>
    </w:tblStylePr>
    <w:tblStylePr w:type="wholeTable">
      <w:rPr>
        <w:color w:themeColor="accent3" w:themeTint="fe" w:themeShade="95"/>
        <w:sz w:val="22"/>
      </w:rPr>
      <w:tblPr/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rPr>
        <w:b/>
        <w:color w:themeColor="accent4" w:themeTint="9a" w:themeShade="95"/>
      </w:rPr>
      <w:tblPr/>
    </w:tblStylePr>
    <w:tblStylePr w:type="firstRow">
      <w:rPr>
        <w:b/>
        <w:color w:themeColor="accent4" w:themeTint="9a" w:themeShade="95"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themeColor="accent4" w:themeTint="9a" w:themeShade="95"/>
      </w:rPr>
      <w:tblPr/>
    </w:tblStylePr>
    <w:tblStylePr w:type="lastRow">
      <w:rPr>
        <w:b/>
        <w:color w:themeColor="accent4" w:themeTint="9a" w:themeShade="95"/>
      </w:rPr>
      <w:tblPr/>
    </w:tblStylePr>
    <w:tblStylePr w:type="wholeTable">
      <w:rPr>
        <w:color w:themeColor="accent4" w:themeTint="9a" w:themeShade="95"/>
        <w:sz w:val="22"/>
      </w:rPr>
      <w:tblPr/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  <w:tblStylePr w:type="firstCol">
      <w:rPr>
        <w:b/>
        <w:color w:themeColor="accent5" w:themeShade="95"/>
      </w:rPr>
      <w:tblPr/>
    </w:tblStylePr>
    <w:tblStylePr w:type="firstRow">
      <w:rPr>
        <w:b/>
        <w:color w:themeColor="accent5" w:themeShade="95"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themeColor="accent5" w:themeShade="95"/>
      </w:rPr>
      <w:tblPr/>
    </w:tblStylePr>
    <w:tblStylePr w:type="lastRow">
      <w:rPr>
        <w:b/>
        <w:color w:themeColor="accent5" w:themeShade="95"/>
      </w:rPr>
      <w:tblPr/>
    </w:tblStylePr>
    <w:tblStylePr w:type="wholeTable">
      <w:rPr>
        <w:color w:themeColor="accent5" w:themeShade="95"/>
        <w:sz w:val="22"/>
      </w:rPr>
      <w:tblPr/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2Horz">
      <w:rPr>
        <w:color w:themeColor="accent5" w:themeShade="95"/>
        <w:sz w:val="22"/>
      </w:rPr>
      <w:tblPr/>
    </w:tblStylePr>
    <w:tblStylePr w:type="firstCol">
      <w:rPr>
        <w:b/>
        <w:color w:themeColor="accent5" w:themeShade="95"/>
      </w:rPr>
      <w:tblPr/>
    </w:tblStylePr>
    <w:tblStylePr w:type="firstRow">
      <w:rPr>
        <w:b/>
        <w:color w:themeColor="accent5" w:themeShade="95"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themeColor="accent5" w:themeShade="95"/>
      </w:rPr>
      <w:tblPr/>
    </w:tblStylePr>
    <w:tblStylePr w:type="lastRow">
      <w:rPr>
        <w:b/>
        <w:color w:themeColor="accent5" w:themeShade="95"/>
      </w:rPr>
      <w:tblPr/>
    </w:tblStylePr>
    <w:tblStylePr w:type="wholeTable">
      <w:rPr>
        <w:color w:themeColor="accent5" w:themeShade="95"/>
        <w:sz w:val="22"/>
      </w:rPr>
      <w:tblPr/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2Horz">
      <w:rPr>
        <w:color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text1" w:sz="4" w:space="0"/>
        </w:tcBorders>
        <w:shd w:color="FFFFFF"/>
      </w:tcPr>
    </w:tblStylePr>
    <w:tblStylePr w:type="firstRow">
      <w:rPr>
        <w:b/>
        <w:color w:themeColor="text1" w:themeTint="80" w:themeShade="95"/>
        <w:sz w:val="22"/>
      </w:rPr>
      <w:tblPr/>
      <w:tcPr>
        <w:tcBorders>
          <w:top w:val="none"/>
          <w:left w:val="none"/>
          <w:bottom w:val="single" w:color="000000" w:themeColor="text1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/>
          <w:left w:val="single" w:color="000000" w:themeColor="text1" w:sz="4" w:space="0"/>
          <w:bottom w:val="none"/>
          <w:right w:val="none"/>
        </w:tcBorders>
        <w:shd w:color="FFFFFF"/>
      </w:tcPr>
    </w:tblStylePr>
    <w:tblStylePr w:type="lastRow">
      <w:rPr>
        <w:b/>
        <w:color w:themeColor="text1" w:themeTint="80" w:themeShade="95"/>
        <w:sz w:val="22"/>
      </w:rPr>
      <w:tblPr/>
      <w:tcPr>
        <w:tcBorders>
          <w:top w:val="single" w:color="000000" w:themeColor="text1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1" w:sz="4" w:space="0"/>
        </w:tcBorders>
        <w:shd w:color="FFFFFF"/>
      </w:tcPr>
    </w:tblStylePr>
    <w:tblStylePr w:type="firstRow">
      <w:rPr>
        <w:b/>
        <w:color w:themeColor="accent1" w:themeTint="80" w:themeShade="95"/>
        <w:sz w:val="22"/>
      </w:rPr>
      <w:tblPr/>
      <w:tcPr>
        <w:tcBorders>
          <w:top w:val="none"/>
          <w:left w:val="none"/>
          <w:bottom w:val="single" w:color="000000" w:themeColor="accent1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one"/>
          <w:left w:val="single" w:color="000000" w:themeColor="accent1" w:sz="4" w:space="0"/>
          <w:bottom w:val="none"/>
          <w:right w:val="none"/>
        </w:tcBorders>
        <w:shd w:color="FFFFFF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000000" w:themeColor="accent1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F2DCDB" w:themeFill="accent2" w:themeFillTint="32"/>
      </w:tcPr>
    </w:tblStylePr>
    <w:tblStylePr w:type="band1Vert">
      <w:tblPr/>
      <w:tcPr>
        <w:shd w:val="clear" w:color="FFFFFF" w:fill="F2DCDB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2" w:sz="4" w:space="0"/>
        </w:tcBorders>
        <w:shd w:color="FFFFFF"/>
      </w:tcPr>
    </w:tblStylePr>
    <w:tblStylePr w:type="firstRow">
      <w:rPr>
        <w:b/>
        <w:color w:themeColor="accent2" w:themeTint="97" w:themeShade="95"/>
        <w:sz w:val="22"/>
      </w:rPr>
      <w:tblPr/>
      <w:tcPr>
        <w:tcBorders>
          <w:top w:val="none"/>
          <w:left w:val="none"/>
          <w:bottom w:val="single" w:color="000000" w:themeColor="accent2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/>
          <w:left w:val="single" w:color="000000" w:themeColor="accent2" w:sz="4" w:space="0"/>
          <w:bottom w:val="none"/>
          <w:right w:val="none"/>
        </w:tcBorders>
        <w:shd w:color="FFFFFF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000000" w:themeColor="accent2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themeColor="accent3" w:themeTint="fe" w:themeShade="95"/>
        <w:sz w:val="22"/>
      </w:rPr>
      <w:tblPr/>
      <w:tcPr>
        <w:shd w:val="clear" w:color="FFFFFF" w:fill="EAF0DD" w:themeFill="accent3" w:themeFillTint="34"/>
      </w:tcPr>
    </w:tblStylePr>
    <w:tblStylePr w:type="band1Vert">
      <w:tblPr/>
      <w:tcPr>
        <w:shd w:val="clear" w:color="FFFFFF" w:fill="EAF0DD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3" w:sz="4" w:space="0"/>
        </w:tcBorders>
        <w:shd w:color="FFFFFF"/>
      </w:tcPr>
    </w:tblStylePr>
    <w:tblStylePr w:type="firstRow">
      <w:rPr>
        <w:b/>
        <w:color w:themeColor="accent3" w:themeTint="fe" w:themeShade="95"/>
        <w:sz w:val="22"/>
      </w:rPr>
      <w:tblPr/>
      <w:tcPr>
        <w:tcBorders>
          <w:top w:val="none"/>
          <w:left w:val="none"/>
          <w:bottom w:val="single" w:color="000000" w:themeColor="accent3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one"/>
          <w:left w:val="single" w:color="000000" w:themeColor="accent3" w:sz="4" w:space="0"/>
          <w:bottom w:val="none"/>
          <w:right w:val="none"/>
        </w:tcBorders>
        <w:shd w:color="FFFFFF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000000" w:themeColor="accent3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4" w:sz="4" w:space="0"/>
        </w:tcBorders>
        <w:shd w:color="FFFFFF"/>
      </w:tcPr>
    </w:tblStylePr>
    <w:tblStylePr w:type="firstRow">
      <w:rPr>
        <w:b/>
        <w:color w:themeColor="accent4" w:themeTint="9a" w:themeShade="95"/>
        <w:sz w:val="22"/>
      </w:rPr>
      <w:tblPr/>
      <w:tcPr>
        <w:tcBorders>
          <w:top w:val="none"/>
          <w:left w:val="none"/>
          <w:bottom w:val="single" w:color="000000" w:themeColor="accent4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/>
          <w:left w:val="single" w:color="000000" w:themeColor="accent4" w:sz="4" w:space="0"/>
          <w:bottom w:val="none"/>
          <w:right w:val="none"/>
        </w:tcBorders>
        <w:shd w:color="FFFFFF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000000" w:themeColor="accent4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color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5" w:sz="4" w:space="0"/>
        </w:tcBorders>
        <w:shd w:color="FFFFFF"/>
      </w:tcPr>
    </w:tblStylePr>
    <w:tblStylePr w:type="firstRow">
      <w:rPr>
        <w:b/>
        <w:color w:themeColor="accent5" w:themeShade="95"/>
        <w:sz w:val="22"/>
      </w:rPr>
      <w:tblPr/>
      <w:tcPr>
        <w:tcBorders>
          <w:top w:val="none"/>
          <w:left w:val="none"/>
          <w:bottom w:val="single" w:color="000000" w:themeColor="accent5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one"/>
          <w:left w:val="single" w:color="000000" w:themeColor="accent5" w:sz="4" w:space="0"/>
          <w:bottom w:val="none"/>
          <w:right w:val="none"/>
        </w:tcBorders>
        <w:shd w:color="FFFFFF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000000" w:themeColor="accent5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color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2Horz">
      <w:rPr>
        <w:color w:themeColor="accent6" w:themeShade="95"/>
        <w:sz w:val="22"/>
      </w:rPr>
      <w:tblPr/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6" w:sz="4" w:space="0"/>
        </w:tcBorders>
        <w:shd w:color="FFFFFF"/>
      </w:tcPr>
    </w:tblStylePr>
    <w:tblStylePr w:type="firstRow">
      <w:rPr>
        <w:b/>
        <w:color w:themeColor="accent6" w:themeShade="95"/>
        <w:sz w:val="22"/>
      </w:rPr>
      <w:tblPr/>
      <w:tcPr>
        <w:tcBorders>
          <w:top w:val="none"/>
          <w:left w:val="none"/>
          <w:bottom w:val="single" w:color="000000" w:themeColor="accent6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one"/>
          <w:left w:val="single" w:color="000000" w:themeColor="accent6" w:sz="4" w:space="0"/>
          <w:bottom w:val="none"/>
          <w:right w:val="none"/>
        </w:tcBorders>
        <w:shd w:color="FFFFFF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000000" w:themeColor="accent6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D3E0EE" w:themeFill="accent1" w:themeFillTint="40"/>
      </w:tcPr>
    </w:tblStylePr>
    <w:tblStylePr w:type="band1Vert">
      <w:tblPr/>
      <w:tcPr>
        <w:shd w:val="clear" w:color="FFFFFF" w:fill="D3E0EE" w:themeFill="accent1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EFD3D2" w:themeFill="accent2" w:themeFillTint="40"/>
      </w:tcPr>
    </w:tblStylePr>
    <w:tblStylePr w:type="band1Vert">
      <w:tblPr/>
      <w:tcPr>
        <w:shd w:val="clear" w:color="FFFFFF" w:fill="EFD3D2" w:themeFill="accent2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E6EED5" w:themeFill="accent3" w:themeFillTint="40"/>
      </w:tcPr>
    </w:tblStylePr>
    <w:tblStylePr w:type="band1Vert">
      <w:tblPr/>
      <w:tcPr>
        <w:shd w:val="clear" w:color="FFFFFF" w:fill="E6EED5" w:themeFill="accent3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DFD8E7" w:themeFill="accent4" w:themeFillTint="40"/>
      </w:tcPr>
    </w:tblStylePr>
    <w:tblStylePr w:type="band1Vert">
      <w:tblPr/>
      <w:tcPr>
        <w:shd w:val="clear" w:color="FFFFFF" w:fill="DFD8E7" w:themeFill="accent4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D1EAF0" w:themeFill="accent5" w:themeFillTint="40"/>
      </w:tcPr>
    </w:tblStylePr>
    <w:tblStylePr w:type="band1Vert">
      <w:tblPr/>
      <w:tcPr>
        <w:shd w:val="clear" w:color="FFFFFF" w:fill="D1EAF0" w:themeFill="accent5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FCE4D1" w:themeFill="accent6" w:themeFillTint="40"/>
      </w:tcPr>
    </w:tblStylePr>
    <w:tblStylePr w:type="band1Vert">
      <w:tblPr/>
      <w:tcPr>
        <w:shd w:val="clear" w:color="FFFFFF" w:fill="FCE4D1" w:themeFill="accent6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sz w:val="22"/>
      </w:rPr>
      <w:tblPr/>
      <w:tcPr>
        <w:shd w:val="clear" w:color="FFFFFF" w:fill="BFBFBF" w:themeFill="text1" w:themeFillTint="40"/>
      </w:tc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3E0EE" w:themeFill="accent1" w:themeFillTint="40"/>
      </w:tcPr>
    </w:tblStylePr>
    <w:tblStylePr w:type="band1Vert">
      <w:rPr>
        <w:sz w:val="22"/>
      </w:rPr>
      <w:tblPr/>
      <w:tcPr>
        <w:shd w:val="clear" w:color="FFFFFF" w:fill="D3E0EE" w:themeFill="accent1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EFD3D2" w:themeFill="accent2" w:themeFillTint="40"/>
      </w:tcPr>
    </w:tblStylePr>
    <w:tblStylePr w:type="band1Vert">
      <w:rPr>
        <w:sz w:val="22"/>
      </w:rPr>
      <w:tblPr/>
      <w:tcPr>
        <w:shd w:val="clear" w:color="FFFFFF" w:fill="EFD3D2" w:themeFill="accent2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6EED5" w:themeFill="accent3" w:themeFillTint="40"/>
      </w:tcPr>
    </w:tblStylePr>
    <w:tblStylePr w:type="band1Vert">
      <w:rPr>
        <w:sz w:val="22"/>
      </w:rPr>
      <w:tblPr/>
      <w:tcPr>
        <w:shd w:val="clear" w:color="FFFFFF" w:fill="E6EED5" w:themeFill="accent3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DFD8E7" w:themeFill="accent4" w:themeFillTint="40"/>
      </w:tc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D1EAF0" w:themeFill="accent5" w:themeFillTint="40"/>
      </w:tc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FCE4D1" w:themeFill="accent6" w:themeFillTint="40"/>
      </w:tcPr>
    </w:tblStylePr>
    <w:tblStylePr w:type="band1Vert">
      <w:rPr>
        <w:sz w:val="22"/>
      </w:rPr>
      <w:tblPr/>
      <w:tcPr>
        <w:shd w:val="clear" w:color="FFFFFF" w:fill="FCE4D1" w:themeFill="accent6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bottom w:val="single" w:color="000000" w:themeColor="accent2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D99694" w:themeFill="accent2" w:themeFillTint="97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bottom w:val="single" w:color="000000" w:themeColor="accent3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C3D69B" w:themeFill="accent3" w:themeFillTint="98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bottom w:val="single" w:color="000000" w:themeColor="accent4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bottom w:val="single" w:color="000000" w:themeColor="accent5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91CDDC" w:themeFill="accent5" w:themeFillTint="9a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bottom w:val="single" w:color="000000" w:themeColor="accent6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F9BF90" w:themeFill="accent6" w:themeFillTint="98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sz w:val="22"/>
      </w:rPr>
      <w:tblPr/>
      <w:tcPr>
        <w:shd w:val="clear" w:color="FFFFFF" w:fill="BFBFBF" w:themeFill="text1" w:themeFillTint="40"/>
      </w:tc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3E0EE" w:themeFill="accent1" w:themeFillTint="40"/>
      </w:tcPr>
    </w:tblStylePr>
    <w:tblStylePr w:type="band1Vert">
      <w:rPr>
        <w:sz w:val="22"/>
      </w:rPr>
      <w:tblPr/>
      <w:tcPr>
        <w:shd w:val="clear" w:color="FFFFFF" w:fill="D3E0EE" w:themeFill="accent1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EFD3D2" w:themeFill="accent2" w:themeFillTint="40"/>
      </w:tcPr>
    </w:tblStylePr>
    <w:tblStylePr w:type="band1Vert">
      <w:rPr>
        <w:sz w:val="22"/>
      </w:rPr>
      <w:tblPr/>
      <w:tcPr>
        <w:shd w:val="clear" w:color="FFFFFF" w:fill="EFD3D2" w:themeFill="accent2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6EED5" w:themeFill="accent3" w:themeFillTint="40"/>
      </w:tcPr>
    </w:tblStylePr>
    <w:tblStylePr w:type="band1Vert">
      <w:rPr>
        <w:sz w:val="22"/>
      </w:rPr>
      <w:tblPr/>
      <w:tcPr>
        <w:shd w:val="clear" w:color="FFFFFF" w:fill="E6EED5" w:themeFill="accent3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DFD8E7" w:themeFill="accent4" w:themeFillTint="40"/>
      </w:tc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D1EAF0" w:themeFill="accent5" w:themeFillTint="40"/>
      </w:tc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FCE4D1" w:themeFill="accent6" w:themeFillTint="40"/>
      </w:tcPr>
    </w:tblStylePr>
    <w:tblStylePr w:type="band1Vert">
      <w:rPr>
        <w:sz w:val="22"/>
      </w:rPr>
      <w:tblPr/>
      <w:tcPr>
        <w:shd w:val="clear" w:color="FFFFFF" w:fill="FCE4D1" w:themeFill="accent6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7F7F7F" w:themeFill="text1" w:themeFillTint="80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text1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text1" w:sz="32" w:space="0"/>
          <w:bottom w:val="single" w:color="000000" w:themeColor="light1" w:sz="12" w:space="0"/>
        </w:tcBorders>
        <w:shd w:val="clear" w:color="FFFFFF" w:fill="7F7F7F" w:themeFill="text1" w:themeFillTint="80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text1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4F81BD" w:themeFill="accent1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4F81BD" w:themeFill="accent1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4F81BD" w:themeFill="accent1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fill="4F81BD" w:themeFill="accent1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D99694" w:themeFill="accent2" w:themeFillTint="97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D99694" w:themeFill="accent2" w:themeFillTint="97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D99694" w:themeFill="accent2" w:themeFillTint="97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2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2" w:sz="32" w:space="0"/>
          <w:bottom w:val="single" w:color="000000" w:themeColor="light1" w:sz="12" w:space="0"/>
        </w:tcBorders>
        <w:shd w:val="clear" w:color="FFFFFF" w:fill="D99694" w:themeFill="accent2" w:themeFillTint="97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2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C3D69B" w:themeFill="accent3" w:themeFillTint="98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3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3" w:sz="32" w:space="0"/>
          <w:bottom w:val="single" w:color="000000" w:themeColor="light1" w:sz="12" w:space="0"/>
        </w:tcBorders>
        <w:shd w:val="clear" w:color="FFFFFF" w:fill="C3D69B" w:themeFill="accent3" w:themeFillTint="98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3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B2A1C6" w:themeFill="accent4" w:themeFillTint="9a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4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4" w:sz="32" w:space="0"/>
          <w:bottom w:val="single" w:color="000000" w:themeColor="light1" w:sz="12" w:space="0"/>
        </w:tcBorders>
        <w:shd w:val="clear" w:color="FFFFFF" w:fill="B2A1C6" w:themeFill="accent4" w:themeFillTint="9a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4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91CDDC" w:themeFill="accent5" w:themeFillTint="9a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91CDDC" w:themeFill="accent5" w:themeFillTint="9a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91CDDC" w:themeFill="accent5" w:themeFillTint="9a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5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5" w:sz="32" w:space="0"/>
          <w:bottom w:val="single" w:color="000000" w:themeColor="light1" w:sz="12" w:space="0"/>
        </w:tcBorders>
        <w:shd w:val="clear" w:color="FFFFFF" w:fill="91CDDC" w:themeFill="accent5" w:themeFillTint="9a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5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9BF90" w:themeFill="accent6" w:themeFillTint="98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9BF90" w:themeFill="accent6" w:themeFillTint="98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9BF90" w:themeFill="accent6" w:themeFillTint="98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6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6" w:sz="32" w:space="0"/>
          <w:bottom w:val="single" w:color="000000" w:themeColor="light1" w:sz="12" w:space="0"/>
        </w:tcBorders>
        <w:shd w:val="clear" w:color="FFFFFF" w:fill="F9BF90" w:themeFill="accent6" w:themeFillTint="98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6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color w:themeColor="text1"/>
        <w:sz w:val="22"/>
      </w:rPr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2Horz">
      <w:rPr>
        <w:color w:themeColor="text1"/>
        <w:sz w:val="22"/>
      </w:rPr>
      <w:tblPr/>
    </w:tblStylePr>
    <w:tblStylePr w:type="firstCol">
      <w:rPr>
        <w:b/>
        <w:color w:themeColor="text1"/>
      </w:rPr>
      <w:tblPr/>
    </w:tblStylePr>
    <w:tblStylePr w:type="firstRow">
      <w:rPr>
        <w:b/>
        <w:color w:themeColor="text1"/>
      </w:rPr>
      <w:tblPr/>
      <w:tcPr>
        <w:tcBorders>
          <w:bottom w:val="single" w:color="000000" w:themeColor="text1" w:sz="4" w:space="0"/>
        </w:tcBorders>
      </w:tcPr>
    </w:tblStylePr>
    <w:tblStylePr w:type="lastCol">
      <w:rPr>
        <w:b/>
        <w:color w:themeColor="text1"/>
      </w:rPr>
      <w:tblPr/>
    </w:tblStylePr>
    <w:tblStylePr w:type="lastRow">
      <w:rPr>
        <w:b/>
        <w:color w:themeColor="text1"/>
      </w:rPr>
      <w:tblPr/>
      <w:tcPr>
        <w:tcBorders>
          <w:top w:val="single" w:color="000000" w:themeColor="text1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color w:themeColor="accent1" w:themeShade="95"/>
        <w:sz w:val="22"/>
      </w:rPr>
      <w:tblPr/>
      <w:tcPr>
        <w:shd w:val="clear" w:color="FFFFFF" w:fill="D3E0EE" w:themeFill="accent1" w:themeFillTint="40"/>
      </w:tcPr>
    </w:tblStylePr>
    <w:tblStylePr w:type="band1Vert">
      <w:tblPr/>
      <w:tcPr>
        <w:shd w:val="clear" w:color="FFFFFF" w:fill="D3E0EE" w:themeFill="accent1" w:themeFillTint="40"/>
      </w:tcPr>
    </w:tblStylePr>
    <w:tblStylePr w:type="band2Horz">
      <w:rPr>
        <w:color w:themeColor="accent1" w:themeShade="95"/>
        <w:sz w:val="22"/>
      </w:rPr>
      <w:tblPr/>
    </w:tblStylePr>
    <w:tblStylePr w:type="firstCol">
      <w:rPr>
        <w:b/>
        <w:color w:themeColor="accent1" w:themeShade="95"/>
      </w:rPr>
      <w:tblPr/>
    </w:tblStylePr>
    <w:tblStylePr w:type="firstRow">
      <w:rPr>
        <w:b/>
        <w:color w:themeColor="accent1" w:themeShade="95"/>
      </w:rPr>
      <w:tblPr/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themeColor="accent1" w:themeShade="95"/>
      </w:rPr>
      <w:tblPr/>
    </w:tblStylePr>
    <w:tblStylePr w:type="lastRow">
      <w:rPr>
        <w:b/>
        <w:color w:themeColor="accent1" w:themeShade="95"/>
      </w:rPr>
      <w:tblPr/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EFD3D2" w:themeFill="accent2" w:themeFillTint="40"/>
      </w:tcPr>
    </w:tblStylePr>
    <w:tblStylePr w:type="band1Vert">
      <w:tblPr/>
      <w:tcPr>
        <w:shd w:val="clear" w:color="FFFFFF" w:fill="EFD3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rPr>
        <w:b/>
        <w:color w:themeColor="accent2" w:themeTint="97" w:themeShade="95"/>
      </w:rPr>
      <w:tblPr/>
    </w:tblStylePr>
    <w:tblStylePr w:type="firstRow">
      <w:rPr>
        <w:b/>
        <w:color w:themeColor="accent2" w:themeTint="97" w:themeShade="95"/>
      </w:rPr>
      <w:tblPr/>
      <w:tcPr>
        <w:tcBorders>
          <w:bottom w:val="single" w:color="000000" w:themeColor="accent2" w:sz="4" w:space="0"/>
        </w:tcBorders>
      </w:tcPr>
    </w:tblStylePr>
    <w:tblStylePr w:type="lastCol">
      <w:rPr>
        <w:b/>
        <w:color w:themeColor="accent2" w:themeTint="97" w:themeShade="95"/>
      </w:rPr>
      <w:tblPr/>
    </w:tblStylePr>
    <w:tblStylePr w:type="lastRow">
      <w:rPr>
        <w:b/>
        <w:color w:themeColor="accent2" w:themeTint="97" w:themeShade="95"/>
      </w:rPr>
      <w:tblPr/>
      <w:tcPr>
        <w:tcBorders>
          <w:top w:val="single" w:color="000000" w:themeColor="accent2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color w:themeColor="accent3" w:themeTint="98" w:themeShade="95"/>
        <w:sz w:val="22"/>
      </w:rPr>
      <w:tblPr/>
      <w:tcPr>
        <w:shd w:val="clear" w:color="FFFFFF" w:fill="E6EED5" w:themeFill="accent3" w:themeFillTint="40"/>
      </w:tcPr>
    </w:tblStylePr>
    <w:tblStylePr w:type="band1Vert">
      <w:tblPr/>
      <w:tcPr>
        <w:shd w:val="clear" w:color="FFFFFF" w:fill="E6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  <w:tblStylePr w:type="firstCol">
      <w:rPr>
        <w:b/>
        <w:color w:themeColor="accent3" w:themeTint="98" w:themeShade="95"/>
      </w:rPr>
      <w:tblPr/>
    </w:tblStylePr>
    <w:tblStylePr w:type="firstRow">
      <w:rPr>
        <w:b/>
        <w:color w:themeColor="accent3" w:themeTint="98" w:themeShade="95"/>
      </w:rPr>
      <w:tblPr/>
      <w:tcPr>
        <w:tcBorders>
          <w:bottom w:val="single" w:color="000000" w:themeColor="accent3" w:sz="4" w:space="0"/>
        </w:tcBorders>
      </w:tcPr>
    </w:tblStylePr>
    <w:tblStylePr w:type="lastCol">
      <w:rPr>
        <w:b/>
        <w:color w:themeColor="accent3" w:themeTint="98" w:themeShade="95"/>
      </w:rPr>
      <w:tblPr/>
    </w:tblStylePr>
    <w:tblStylePr w:type="lastRow">
      <w:rPr>
        <w:b/>
        <w:color w:themeColor="accent3" w:themeTint="98" w:themeShade="95"/>
      </w:rPr>
      <w:tblPr/>
      <w:tcPr>
        <w:tcBorders>
          <w:top w:val="single" w:color="000000" w:themeColor="accent3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rPr>
        <w:b/>
        <w:color w:themeColor="accent4" w:themeTint="9a" w:themeShade="95"/>
      </w:rPr>
      <w:tblPr/>
    </w:tblStylePr>
    <w:tblStylePr w:type="firstRow">
      <w:rPr>
        <w:b/>
        <w:color w:themeColor="accent4" w:themeTint="9a" w:themeShade="95"/>
      </w:rPr>
      <w:tblPr/>
      <w:tcPr>
        <w:tcBorders>
          <w:bottom w:val="single" w:color="000000" w:themeColor="accent4" w:sz="4" w:space="0"/>
        </w:tcBorders>
      </w:tcPr>
    </w:tblStylePr>
    <w:tblStylePr w:type="lastCol">
      <w:rPr>
        <w:b/>
        <w:color w:themeColor="accent4" w:themeTint="9a" w:themeShade="95"/>
      </w:rPr>
      <w:tblPr/>
    </w:tblStylePr>
    <w:tblStylePr w:type="lastRow">
      <w:rPr>
        <w:b/>
        <w:color w:themeColor="accent4" w:themeTint="9a" w:themeShade="95"/>
      </w:rPr>
      <w:tblPr/>
      <w:tcPr>
        <w:tcBorders>
          <w:top w:val="single" w:color="000000" w:themeColor="accent4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color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  <w:tblStylePr w:type="firstCol">
      <w:rPr>
        <w:b/>
        <w:color w:themeColor="accent5" w:themeTint="9a" w:themeShade="95"/>
      </w:rPr>
      <w:tblPr/>
    </w:tblStylePr>
    <w:tblStylePr w:type="firstRow">
      <w:rPr>
        <w:b/>
        <w:color w:themeColor="accent5" w:themeTint="9a" w:themeShade="95"/>
      </w:rPr>
      <w:tblPr/>
      <w:tcPr>
        <w:tcBorders>
          <w:bottom w:val="single" w:color="000000" w:themeColor="accent5" w:sz="4" w:space="0"/>
        </w:tcBorders>
      </w:tcPr>
    </w:tblStylePr>
    <w:tblStylePr w:type="lastCol">
      <w:rPr>
        <w:b/>
        <w:color w:themeColor="accent5" w:themeTint="9a" w:themeShade="95"/>
      </w:rPr>
      <w:tblPr/>
    </w:tblStylePr>
    <w:tblStylePr w:type="lastRow">
      <w:rPr>
        <w:b/>
        <w:color w:themeColor="accent5" w:themeTint="9a" w:themeShade="95"/>
      </w:rPr>
      <w:tblPr/>
      <w:tcPr>
        <w:tcBorders>
          <w:top w:val="single" w:color="000000" w:themeColor="accent5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color w:themeColor="accent6" w:themeTint="98" w:themeShade="95"/>
        <w:sz w:val="22"/>
      </w:rPr>
      <w:tblPr/>
      <w:tcPr>
        <w:shd w:val="clear" w:color="FFFFFF" w:fill="FCE4D1" w:themeFill="accent6" w:themeFillTint="40"/>
      </w:tcPr>
    </w:tblStylePr>
    <w:tblStylePr w:type="band1Vert">
      <w:tblPr/>
      <w:tcPr>
        <w:shd w:val="clear" w:color="FFFFFF" w:fill="FCE4D1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  <w:tblStylePr w:type="firstCol">
      <w:rPr>
        <w:b/>
        <w:color w:themeColor="accent6" w:themeTint="98" w:themeShade="95"/>
      </w:rPr>
      <w:tblPr/>
    </w:tblStylePr>
    <w:tblStylePr w:type="firstRow">
      <w:rPr>
        <w:b/>
        <w:color w:themeColor="accent6" w:themeTint="98" w:themeShade="95"/>
      </w:rPr>
      <w:tblPr/>
      <w:tcPr>
        <w:tcBorders>
          <w:bottom w:val="single" w:color="000000" w:themeColor="accent6" w:sz="4" w:space="0"/>
        </w:tcBorders>
      </w:tcPr>
    </w:tblStylePr>
    <w:tblStylePr w:type="lastCol">
      <w:rPr>
        <w:b/>
        <w:color w:themeColor="accent6" w:themeTint="98" w:themeShade="95"/>
      </w:rPr>
      <w:tblPr/>
    </w:tblStylePr>
    <w:tblStylePr w:type="lastRow">
      <w:rPr>
        <w:b/>
        <w:color w:themeColor="accent6" w:themeTint="98" w:themeShade="95"/>
      </w:rPr>
      <w:tblPr/>
      <w:tcPr>
        <w:tcBorders>
          <w:top w:val="single" w:color="000000" w:themeColor="accent6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text1" w:themeTint="80" w:sz="4" w:space="0"/>
      </w:tblBorders>
    </w:tblPr>
    <w:tblStylePr w:type="band1Horz">
      <w:rPr>
        <w:color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2Horz">
      <w:rPr>
        <w:color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text1" w:sz="4" w:space="0"/>
        </w:tcBorders>
        <w:shd w:color="FFFFFF"/>
      </w:tcPr>
    </w:tblStylePr>
    <w:tblStylePr w:type="firstRow">
      <w:rPr>
        <w:i/>
        <w:color w:themeColor="text1" w:themeTint="80" w:themeShade="95"/>
        <w:sz w:val="22"/>
      </w:rPr>
      <w:tblPr/>
      <w:tcPr>
        <w:tcBorders>
          <w:top w:val="none"/>
          <w:left w:val="none"/>
          <w:bottom w:val="single" w:color="000000" w:themeColor="text1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/>
          <w:left w:val="single" w:color="000000" w:themeColor="text1" w:sz="4" w:space="0"/>
          <w:bottom w:val="none"/>
          <w:right w:val="none"/>
        </w:tcBorders>
        <w:shd w:color="FFFFFF"/>
      </w:tcPr>
    </w:tblStylePr>
    <w:tblStylePr w:type="lastRow">
      <w:rPr>
        <w:i/>
        <w:color w:themeColor="text1" w:themeTint="80" w:themeShade="95"/>
        <w:sz w:val="22"/>
      </w:rPr>
      <w:tblPr/>
      <w:tcPr>
        <w:tcBorders>
          <w:top w:val="single" w:color="000000" w:themeColor="text1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themeColor="text1" w:themeTint="80" w:themeShade="95"/>
        <w:sz w:val="22"/>
      </w:rPr>
      <w:tblPr/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1" w:sz="4" w:space="0"/>
      </w:tblBorders>
    </w:tblPr>
    <w:tblStylePr w:type="band1Horz">
      <w:rPr>
        <w:color w:themeColor="accent1" w:themeShade="95"/>
        <w:sz w:val="22"/>
      </w:rPr>
      <w:tblPr/>
      <w:tcPr>
        <w:shd w:val="clear" w:color="FFFFFF" w:fill="D3E0EE" w:themeFill="accent1" w:themeFillTint="40"/>
      </w:tcPr>
    </w:tblStylePr>
    <w:tblStylePr w:type="band1Vert">
      <w:tblPr/>
      <w:tcPr>
        <w:shd w:val="clear" w:color="FFFFFF" w:fill="D3E0EE" w:themeFill="accent1" w:themeFillTint="40"/>
      </w:tcPr>
    </w:tblStylePr>
    <w:tblStylePr w:type="band2Horz">
      <w:rPr>
        <w:color w:themeColor="accent1" w:themeShade="95"/>
        <w:sz w:val="22"/>
      </w:rPr>
      <w:tblPr/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1" w:sz="4" w:space="0"/>
        </w:tcBorders>
        <w:shd w:color="FFFFFF"/>
      </w:tcPr>
    </w:tblStylePr>
    <w:tblStylePr w:type="firstRow">
      <w:rPr>
        <w:i/>
        <w:color w:themeColor="accent1" w:themeShade="95"/>
        <w:sz w:val="22"/>
      </w:rPr>
      <w:tblPr/>
      <w:tcPr>
        <w:tcBorders>
          <w:top w:val="none"/>
          <w:left w:val="none"/>
          <w:bottom w:val="single" w:color="000000" w:themeColor="accent1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one"/>
          <w:left w:val="single" w:color="000000" w:themeColor="accent1" w:sz="4" w:space="0"/>
          <w:bottom w:val="none"/>
          <w:right w:val="none"/>
        </w:tcBorders>
        <w:shd w:color="FFFFFF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000000" w:themeColor="accent1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themeColor="accent1" w:themeShade="95"/>
        <w:sz w:val="22"/>
      </w:rPr>
      <w:tblPr/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EFD3D2" w:themeFill="accent2" w:themeFillTint="40"/>
      </w:tcPr>
    </w:tblStylePr>
    <w:tblStylePr w:type="band1Vert">
      <w:tblPr/>
      <w:tcPr>
        <w:shd w:val="clear" w:color="FFFFFF" w:fill="EFD3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2" w:sz="4" w:space="0"/>
        </w:tcBorders>
        <w:shd w:color="FFFFFF"/>
      </w:tcPr>
    </w:tblStylePr>
    <w:tblStylePr w:type="firstRow">
      <w:rPr>
        <w:i/>
        <w:color w:themeColor="accent2" w:themeTint="97" w:themeShade="95"/>
        <w:sz w:val="22"/>
      </w:rPr>
      <w:tblPr/>
      <w:tcPr>
        <w:tcBorders>
          <w:top w:val="none"/>
          <w:left w:val="none"/>
          <w:bottom w:val="single" w:color="000000" w:themeColor="accent2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/>
          <w:left w:val="single" w:color="000000" w:themeColor="accent2" w:sz="4" w:space="0"/>
          <w:bottom w:val="none"/>
          <w:right w:val="none"/>
        </w:tcBorders>
        <w:shd w:color="FFFFFF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000000" w:themeColor="accent2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themeColor="accent2" w:themeTint="97" w:themeShade="95"/>
        <w:sz w:val="22"/>
      </w:rPr>
      <w:tblPr/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3" w:themeTint="98" w:sz="4" w:space="0"/>
      </w:tblBorders>
    </w:tblPr>
    <w:tblStylePr w:type="band1Horz">
      <w:rPr>
        <w:color w:themeColor="accent3" w:themeTint="98" w:themeShade="95"/>
        <w:sz w:val="22"/>
      </w:rPr>
      <w:tblPr/>
      <w:tcPr>
        <w:shd w:val="clear" w:color="FFFFFF" w:fill="E6EED5" w:themeFill="accent3" w:themeFillTint="40"/>
      </w:tcPr>
    </w:tblStylePr>
    <w:tblStylePr w:type="band1Vert">
      <w:tblPr/>
      <w:tcPr>
        <w:shd w:val="clear" w:color="FFFFFF" w:fill="E6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3" w:sz="4" w:space="0"/>
        </w:tcBorders>
        <w:shd w:color="FFFFFF"/>
      </w:tcPr>
    </w:tblStylePr>
    <w:tblStylePr w:type="firstRow">
      <w:rPr>
        <w:i/>
        <w:color w:themeColor="accent3" w:themeTint="98" w:themeShade="95"/>
        <w:sz w:val="22"/>
      </w:rPr>
      <w:tblPr/>
      <w:tcPr>
        <w:tcBorders>
          <w:top w:val="none"/>
          <w:left w:val="none"/>
          <w:bottom w:val="single" w:color="000000" w:themeColor="accent3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one"/>
          <w:left w:val="single" w:color="000000" w:themeColor="accent3" w:sz="4" w:space="0"/>
          <w:bottom w:val="none"/>
          <w:right w:val="none"/>
        </w:tcBorders>
        <w:shd w:color="FFFFFF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000000" w:themeColor="accent3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themeColor="accent3" w:themeTint="98" w:themeShade="95"/>
        <w:sz w:val="22"/>
      </w:rPr>
      <w:tblPr/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4" w:sz="4" w:space="0"/>
        </w:tcBorders>
        <w:shd w:color="FFFFFF"/>
      </w:tcPr>
    </w:tblStylePr>
    <w:tblStylePr w:type="firstRow">
      <w:rPr>
        <w:i/>
        <w:color w:themeColor="accent4" w:themeTint="9a" w:themeShade="95"/>
        <w:sz w:val="22"/>
      </w:rPr>
      <w:tblPr/>
      <w:tcPr>
        <w:tcBorders>
          <w:top w:val="none"/>
          <w:left w:val="none"/>
          <w:bottom w:val="single" w:color="000000" w:themeColor="accent4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/>
          <w:left w:val="single" w:color="000000" w:themeColor="accent4" w:sz="4" w:space="0"/>
          <w:bottom w:val="none"/>
          <w:right w:val="none"/>
        </w:tcBorders>
        <w:shd w:color="FFFFFF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000000" w:themeColor="accent4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themeColor="accent4" w:themeTint="9a" w:themeShade="95"/>
        <w:sz w:val="22"/>
      </w:rPr>
      <w:tblPr/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5" w:themeTint="9a" w:sz="4" w:space="0"/>
      </w:tblBorders>
    </w:tblPr>
    <w:tblStylePr w:type="band1Horz">
      <w:rPr>
        <w:color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5" w:sz="4" w:space="0"/>
        </w:tcBorders>
        <w:shd w:color="FFFFFF"/>
      </w:tcPr>
    </w:tblStylePr>
    <w:tblStylePr w:type="firstRow">
      <w:rPr>
        <w:i/>
        <w:color w:themeColor="accent5" w:themeTint="9a" w:themeShade="95"/>
        <w:sz w:val="22"/>
      </w:rPr>
      <w:tblPr/>
      <w:tcPr>
        <w:tcBorders>
          <w:top w:val="none"/>
          <w:left w:val="none"/>
          <w:bottom w:val="single" w:color="000000" w:themeColor="accent5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one"/>
          <w:left w:val="single" w:color="000000" w:themeColor="accent5" w:sz="4" w:space="0"/>
          <w:bottom w:val="none"/>
          <w:right w:val="none"/>
        </w:tcBorders>
        <w:shd w:color="FFFFFF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000000" w:themeColor="accent5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themeColor="accent5" w:themeTint="9a" w:themeShade="95"/>
        <w:sz w:val="22"/>
      </w:rPr>
      <w:tblPr/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6" w:themeTint="98" w:sz="4" w:space="0"/>
      </w:tblBorders>
    </w:tblPr>
    <w:tblStylePr w:type="band1Horz">
      <w:rPr>
        <w:color w:themeColor="accent6" w:themeTint="98" w:themeShade="95"/>
        <w:sz w:val="22"/>
      </w:rPr>
      <w:tblPr/>
      <w:tcPr>
        <w:shd w:val="clear" w:color="FFFFFF" w:fill="FCE4D1" w:themeFill="accent6" w:themeFillTint="40"/>
      </w:tcPr>
    </w:tblStylePr>
    <w:tblStylePr w:type="band1Vert">
      <w:tblPr/>
      <w:tcPr>
        <w:shd w:val="clear" w:color="FFFFFF" w:fill="FCE4D1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6" w:sz="4" w:space="0"/>
        </w:tcBorders>
        <w:shd w:color="FFFFFF"/>
      </w:tcPr>
    </w:tblStylePr>
    <w:tblStylePr w:type="firstRow">
      <w:rPr>
        <w:i/>
        <w:color w:themeColor="accent6" w:themeTint="98" w:themeShade="95"/>
        <w:sz w:val="22"/>
      </w:rPr>
      <w:tblPr/>
      <w:tcPr>
        <w:tcBorders>
          <w:top w:val="none"/>
          <w:left w:val="none"/>
          <w:bottom w:val="single" w:color="000000" w:themeColor="accent6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one"/>
          <w:left w:val="single" w:color="000000" w:themeColor="accent6" w:sz="4" w:space="0"/>
          <w:bottom w:val="none"/>
          <w:right w:val="none"/>
        </w:tcBorders>
        <w:shd w:color="FFFFFF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000000" w:themeColor="accent6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themeColor="accent6" w:themeTint="98" w:themeShade="95"/>
        <w:sz w:val="22"/>
      </w:rPr>
      <w:tblPr/>
    </w:tblStylePr>
  </w:style>
  <w:style w:type="table" w:styleId="154">
    <w:name w:val="Lined - Accent"/>
    <w:basedOn w:val="33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2F2F2" w:themeFill="text1" w:themeFillTint="d"/>
      </w:tcPr>
    </w:tblStylePr>
    <w:tblStylePr w:type="band2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firstCol">
      <w:rPr>
        <w:sz w:val="22"/>
      </w:rPr>
      <w:tblPr/>
      <w:tcPr>
        <w:shd w:val="clear" w:color="FFFFFF" w:fill="5D8DC2" w:themeFill="accent1" w:themeFillTint="ea"/>
      </w:tcPr>
    </w:tblStylePr>
    <w:tblStylePr w:type="firstRow">
      <w:rPr>
        <w:sz w:val="22"/>
      </w:rPr>
      <w:tblPr/>
      <w:tcPr>
        <w:shd w:val="clear" w:color="FFFFFF" w:fill="5D8DC2" w:themeFill="accent1" w:themeFillTint="ea"/>
      </w:tcPr>
    </w:tblStylePr>
    <w:tblStylePr w:type="lastCol">
      <w:rPr>
        <w:sz w:val="22"/>
      </w:rPr>
      <w:tblPr/>
      <w:tcPr>
        <w:shd w:val="clear" w:color="FFFFFF" w:fill="5D8DC2" w:themeFill="accent1" w:themeFillTint="ea"/>
      </w:tcPr>
    </w:tblStylePr>
    <w:tblStylePr w:type="lastRow">
      <w:rPr>
        <w:sz w:val="22"/>
      </w:rPr>
      <w:tblPr/>
      <w:tcPr>
        <w:shd w:val="clear" w:color="FFFFFF" w:fill="5D8DC2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2DCDB" w:themeFill="accent2" w:themeFillTint="32"/>
      </w:tcPr>
    </w:tblStylePr>
    <w:tblStylePr w:type="band2Vert">
      <w:rPr>
        <w:sz w:val="22"/>
      </w:rPr>
      <w:tblPr/>
      <w:tcPr>
        <w:shd w:val="clear" w:color="FFFFFF" w:fill="F2DCDB" w:themeFill="accent2" w:themeFillTint="32"/>
      </w:tcPr>
    </w:tblStylePr>
    <w:tblStylePr w:type="firstCol">
      <w:rPr>
        <w:sz w:val="22"/>
      </w:rPr>
      <w:tblPr/>
      <w:tcPr>
        <w:shd w:val="clear" w:color="FFFFFF" w:fill="D99694" w:themeFill="accent2" w:themeFillTint="97"/>
      </w:tcPr>
    </w:tblStylePr>
    <w:tblStylePr w:type="firstRow">
      <w:rPr>
        <w:sz w:val="22"/>
      </w:rPr>
      <w:tblPr/>
      <w:tcPr>
        <w:shd w:val="clear" w:color="FFFFFF" w:fill="D99694" w:themeFill="accent2" w:themeFillTint="97"/>
      </w:tcPr>
    </w:tblStylePr>
    <w:tblStylePr w:type="lastCol">
      <w:rPr>
        <w:sz w:val="22"/>
      </w:rPr>
      <w:tblPr/>
      <w:tcPr>
        <w:shd w:val="clear" w:color="FFFFFF" w:fill="D99694" w:themeFill="accent2" w:themeFillTint="97"/>
      </w:tcPr>
    </w:tblStylePr>
    <w:tblStylePr w:type="lastRow">
      <w:rPr>
        <w:sz w:val="22"/>
      </w:rPr>
      <w:tblPr/>
      <w:tcPr>
        <w:shd w:val="clear" w:color="FFFFFF" w:fill="D99694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AF0DD" w:themeFill="accent3" w:themeFillTint="34"/>
      </w:tcPr>
    </w:tblStylePr>
    <w:tblStylePr w:type="band2Vert">
      <w:rPr>
        <w:sz w:val="22"/>
      </w:rPr>
      <w:tblPr/>
      <w:tcPr>
        <w:shd w:val="clear" w:color="FFFFFF" w:fill="EAF0DD" w:themeFill="accent3" w:themeFillTint="34"/>
      </w:tcPr>
    </w:tblStylePr>
    <w:tblStylePr w:type="firstCol">
      <w:rPr>
        <w:sz w:val="22"/>
      </w:rPr>
      <w:tblPr/>
      <w:tcPr>
        <w:shd w:val="clear" w:color="FFFFFF" w:fill="9BBA59" w:themeFill="accent3" w:themeFillTint="fe"/>
      </w:tcPr>
    </w:tblStylePr>
    <w:tblStylePr w:type="firstRow">
      <w:rPr>
        <w:sz w:val="22"/>
      </w:rPr>
      <w:tblPr/>
      <w:tcPr>
        <w:shd w:val="clear" w:color="FFFFFF" w:fill="9BBA59" w:themeFill="accent3" w:themeFillTint="fe"/>
      </w:tcPr>
    </w:tblStylePr>
    <w:tblStylePr w:type="lastCol">
      <w:rPr>
        <w:sz w:val="22"/>
      </w:rPr>
      <w:tblPr/>
      <w:tcPr>
        <w:shd w:val="clear" w:color="FFFFFF" w:fill="9BBA59" w:themeFill="accent3" w:themeFillTint="fe"/>
      </w:tcPr>
    </w:tblStylePr>
    <w:tblStylePr w:type="lastRow">
      <w:rPr>
        <w:sz w:val="22"/>
      </w:rPr>
      <w:tblPr/>
      <w:tcPr>
        <w:shd w:val="clear" w:color="FFFFFF" w:fill="9BBA59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2F2F2" w:themeFill="text1" w:themeFillTint="d"/>
      </w:tcPr>
    </w:tblStylePr>
    <w:tblStylePr w:type="band2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  <w:insideH w:val="single" w:color="000000" w:themeColor="accent1" w:sz="4" w:space="0"/>
        <w:insideV w:val="single" w:color="000000" w:themeColor="accent1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firstCol">
      <w:rPr>
        <w:sz w:val="22"/>
      </w:rPr>
      <w:tblPr/>
      <w:tcPr>
        <w:shd w:val="clear" w:color="FFFFFF" w:fill="5D8DC2" w:themeFill="accent1" w:themeFillTint="ea"/>
      </w:tcPr>
    </w:tblStylePr>
    <w:tblStylePr w:type="firstRow">
      <w:rPr>
        <w:sz w:val="22"/>
      </w:rPr>
      <w:tblPr/>
      <w:tcPr>
        <w:shd w:val="clear" w:color="FFFFFF" w:fill="5D8DC2" w:themeFill="accent1" w:themeFillTint="ea"/>
      </w:tcPr>
    </w:tblStylePr>
    <w:tblStylePr w:type="lastCol">
      <w:rPr>
        <w:sz w:val="22"/>
      </w:rPr>
      <w:tblPr/>
      <w:tcPr>
        <w:shd w:val="clear" w:color="FFFFFF" w:fill="5D8DC2" w:themeFill="accent1" w:themeFillTint="ea"/>
      </w:tcPr>
    </w:tblStylePr>
    <w:tblStylePr w:type="lastRow">
      <w:rPr>
        <w:sz w:val="22"/>
      </w:rPr>
      <w:tblPr/>
      <w:tcPr>
        <w:shd w:val="clear" w:color="FFFFFF" w:fill="5D8DC2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accent2" w:sz="4" w:space="0"/>
        <w:left w:val="single" w:color="000000" w:themeColor="accent2" w:sz="4" w:space="0"/>
        <w:bottom w:val="single" w:color="000000" w:themeColor="accent2" w:sz="4" w:space="0"/>
        <w:right w:val="single" w:color="000000" w:themeColor="accent2" w:sz="4" w:space="0"/>
        <w:insideH w:val="single" w:color="000000" w:themeColor="accent2" w:sz="4" w:space="0"/>
        <w:insideV w:val="single" w:color="000000" w:themeColor="accent2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2DCDB" w:themeFill="accent2" w:themeFillTint="32"/>
      </w:tcPr>
    </w:tblStylePr>
    <w:tblStylePr w:type="band2Vert">
      <w:rPr>
        <w:sz w:val="22"/>
      </w:rPr>
      <w:tblPr/>
      <w:tcPr>
        <w:shd w:val="clear" w:color="FFFFFF" w:fill="F2DCDB" w:themeFill="accent2" w:themeFillTint="32"/>
      </w:tcPr>
    </w:tblStylePr>
    <w:tblStylePr w:type="firstCol">
      <w:rPr>
        <w:sz w:val="22"/>
      </w:rPr>
      <w:tblPr/>
      <w:tcPr>
        <w:shd w:val="clear" w:color="FFFFFF" w:fill="D99694" w:themeFill="accent2" w:themeFillTint="97"/>
      </w:tcPr>
    </w:tblStylePr>
    <w:tblStylePr w:type="firstRow">
      <w:rPr>
        <w:sz w:val="22"/>
      </w:rPr>
      <w:tblPr/>
      <w:tcPr>
        <w:shd w:val="clear" w:color="FFFFFF" w:fill="D99694" w:themeFill="accent2" w:themeFillTint="97"/>
      </w:tcPr>
    </w:tblStylePr>
    <w:tblStylePr w:type="lastCol">
      <w:rPr>
        <w:sz w:val="22"/>
      </w:rPr>
      <w:tblPr/>
      <w:tcPr>
        <w:shd w:val="clear" w:color="FFFFFF" w:fill="D99694" w:themeFill="accent2" w:themeFillTint="97"/>
      </w:tcPr>
    </w:tblStylePr>
    <w:tblStylePr w:type="lastRow">
      <w:rPr>
        <w:sz w:val="22"/>
      </w:rPr>
      <w:tblPr/>
      <w:tcPr>
        <w:shd w:val="clear" w:color="FFFFFF" w:fill="D99694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accent3" w:sz="4" w:space="0"/>
        <w:left w:val="single" w:color="000000" w:themeColor="accent3" w:sz="4" w:space="0"/>
        <w:bottom w:val="single" w:color="000000" w:themeColor="accent3" w:sz="4" w:space="0"/>
        <w:right w:val="single" w:color="000000" w:themeColor="accent3" w:sz="4" w:space="0"/>
        <w:insideH w:val="single" w:color="000000" w:themeColor="accent3" w:sz="4" w:space="0"/>
        <w:insideV w:val="single" w:color="000000" w:themeColor="accent3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AF0DD" w:themeFill="accent3" w:themeFillTint="34"/>
      </w:tcPr>
    </w:tblStylePr>
    <w:tblStylePr w:type="band2Vert">
      <w:rPr>
        <w:sz w:val="22"/>
      </w:rPr>
      <w:tblPr/>
      <w:tcPr>
        <w:shd w:val="clear" w:color="FFFFFF" w:fill="EAF0DD" w:themeFill="accent3" w:themeFillTint="34"/>
      </w:tcPr>
    </w:tblStylePr>
    <w:tblStylePr w:type="firstCol">
      <w:rPr>
        <w:sz w:val="22"/>
      </w:rPr>
      <w:tblPr/>
      <w:tcPr>
        <w:shd w:val="clear" w:color="FFFFFF" w:fill="9BBA59" w:themeFill="accent3" w:themeFillTint="fe"/>
      </w:tcPr>
    </w:tblStylePr>
    <w:tblStylePr w:type="firstRow">
      <w:rPr>
        <w:sz w:val="22"/>
      </w:rPr>
      <w:tblPr/>
      <w:tcPr>
        <w:shd w:val="clear" w:color="FFFFFF" w:fill="9BBA59" w:themeFill="accent3" w:themeFillTint="fe"/>
      </w:tcPr>
    </w:tblStylePr>
    <w:tblStylePr w:type="lastCol">
      <w:rPr>
        <w:sz w:val="22"/>
      </w:rPr>
      <w:tblPr/>
      <w:tcPr>
        <w:shd w:val="clear" w:color="FFFFFF" w:fill="9BBA59" w:themeFill="accent3" w:themeFillTint="fe"/>
      </w:tcPr>
    </w:tblStylePr>
    <w:tblStylePr w:type="lastRow">
      <w:rPr>
        <w:sz w:val="22"/>
      </w:rPr>
      <w:tblPr/>
      <w:tcPr>
        <w:shd w:val="clear" w:color="FFFFFF" w:fill="9BBA59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accent4" w:sz="4" w:space="0"/>
        <w:left w:val="single" w:color="000000" w:themeColor="accent4" w:sz="4" w:space="0"/>
        <w:bottom w:val="single" w:color="000000" w:themeColor="accent4" w:sz="4" w:space="0"/>
        <w:right w:val="single" w:color="000000" w:themeColor="accent4" w:sz="4" w:space="0"/>
        <w:insideH w:val="single" w:color="000000" w:themeColor="accent4" w:sz="4" w:space="0"/>
        <w:insideV w:val="single" w:color="000000" w:themeColor="accent4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text1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2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3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4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5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6" w:sz="12" w:space="0"/>
        </w:tcBorders>
      </w:tcPr>
    </w:tblStylePr>
  </w:style>
  <w:style w:type="table" w:styleId="642">
    <w:name w:val="Обычная таблица"/>
    <w:semiHidden/>
  </w:style>
  <w:style w:type="table" w:styleId="647">
    <w:name w:val="Сетка таблицы"/>
    <w:basedOn w:val="642"/>
    <w:uiPriority w:val="59"/>
  </w:style>
  <w:style w:type="table" w:default="1" w:styleId="9653">
    <w:name w:val="Normal Table"/>
    <w:uiPriority w:val="99"/>
    <w:semiHidden/>
    <w:unhideWhenUsed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zdravmedinform.ru/nomenclatura-meditcinskikh-uslug/a16.25.020.html" TargetMode="External"/><Relationship Id="rId4" Type="http://schemas.openxmlformats.org/officeDocument/2006/relationships/hyperlink" Target="https://zdravmedinform.ru/nomenclatura-meditcinskikh-uslug/a16.30.076.html" TargetMode="External"/><Relationship Id="rId5" Type="http://schemas.openxmlformats.org/officeDocument/2006/relationships/hyperlink" Target="https://zdravmedinform.ru/nomenclatura-meditcinskikh-uslug/a16.08.010.001.html" TargetMode="External"/><Relationship Id="rId6" Type="http://schemas.openxmlformats.org/officeDocument/2006/relationships/hyperlink" Target="https://zdravmedinform.ru/nomenclatura-meditcinskikh-uslug/b04.031.002.html" TargetMode="External"/><Relationship Id="rId7" Type="http://schemas.openxmlformats.org/officeDocument/2006/relationships/hyperlink" Target="https://zdravmedinform.ru/nomenclatura-meditcinskikh-uslug/b04.031.002.html" TargetMode="External"/><Relationship Id="rId8" Type="http://schemas.openxmlformats.org/officeDocument/2006/relationships/hyperlink" Target="https://zdravmedinform.ru/nomenclatura-meditcinskikh-uslug/b04.031.002.html" TargetMode="External"/><Relationship Id="rId9" Type="http://schemas.openxmlformats.org/officeDocument/2006/relationships/hyperlink" Target="https://zdravmedinform.ru/nomenclatura-meditcinskikh-uslug/b04.031.002.html" TargetMode="External"/><Relationship Id="rId10" Type="http://schemas.openxmlformats.org/officeDocument/2006/relationships/hyperlink" Target="https://zdravmedinform.ru/nomenclatura-meditcinskikh-uslug/b04.031.002.html" TargetMode="Externa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 pitchFamily="0" charset="1"/>
        <a:ea typeface="Liberation Sans" pitchFamily="0" charset="1"/>
        <a:cs typeface="Liberation Sans" pitchFamily="0" charset="1"/>
      </a:majorFont>
      <a:minorFont>
        <a:latin typeface="Liberation Sans" pitchFamily="0" charset="1"/>
        <a:ea typeface="Liberation Sans" pitchFamily="0" charset="1"/>
        <a:cs typeface="Liberation Sans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/>
        <a:ln w="25400"/>
        <a:ln w="38100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LibreOffice/24.2.0.1$Windows_X86_64 LibreOffice_project/b4d45829793cddfe67b58a53f495528c75738d8a</Application>
  <AppVersion>15.0000</AppVersion>
  <Pages>11</Pages>
  <Words>1955</Words>
  <Characters>14866</Characters>
  <CharactersWithSpaces>16242</CharactersWithSpaces>
  <Paragraphs>706</Paragraphs>
  <Company>MEDCENTER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2022-01-06T09:16:00Z</dcterms:created>
  <dc:creator>BICH L.S</dc:creator>
  <dc:description/>
  <dc:language>ru-RU</dc:language>
  <cp:lastModifiedBy/>
  <dcterms:modified xsi:type="dcterms:W3CDTF">2026-06-07T10:31:49Z</dcterms:modified>
  <cp:revision>303</cp:revision>
  <dc:subject/>
  <dc:title>Реестр</dc:title>
  <cp:version>1048576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